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4A4" w:rsidRPr="00B50A07" w:rsidRDefault="00DB54A4" w:rsidP="00DB54A4">
      <w:pPr>
        <w:rPr>
          <w:rFonts w:ascii="Arial" w:hAnsi="Arial" w:cs="Arial"/>
          <w:b/>
          <w:sz w:val="28"/>
          <w:szCs w:val="28"/>
        </w:rPr>
      </w:pPr>
      <w:r>
        <w:rPr>
          <w:rFonts w:ascii="Arial" w:hAnsi="Arial" w:cs="Arial"/>
          <w:b/>
          <w:sz w:val="28"/>
          <w:szCs w:val="28"/>
        </w:rPr>
        <w:t xml:space="preserve">Multi – year HMO </w:t>
      </w:r>
      <w:r w:rsidRPr="00B50A07">
        <w:rPr>
          <w:rFonts w:ascii="Arial" w:hAnsi="Arial" w:cs="Arial"/>
          <w:b/>
          <w:sz w:val="28"/>
          <w:szCs w:val="28"/>
        </w:rPr>
        <w:t>Licence</w:t>
      </w:r>
      <w:r>
        <w:rPr>
          <w:rFonts w:ascii="Arial" w:hAnsi="Arial" w:cs="Arial"/>
          <w:b/>
          <w:sz w:val="28"/>
          <w:szCs w:val="28"/>
        </w:rPr>
        <w:t xml:space="preserve">s – Eligibility Criteria </w:t>
      </w:r>
    </w:p>
    <w:p w:rsidR="00DB54A4" w:rsidRPr="006C6509" w:rsidRDefault="00DB54A4" w:rsidP="00DB54A4">
      <w:pPr>
        <w:rPr>
          <w:rFonts w:ascii="Arial" w:hAnsi="Arial" w:cs="Arial"/>
        </w:rPr>
      </w:pPr>
      <w:r>
        <w:rPr>
          <w:rFonts w:ascii="Arial" w:hAnsi="Arial" w:cs="Arial"/>
        </w:rPr>
        <w:t>W</w:t>
      </w:r>
      <w:r w:rsidRPr="006C6509">
        <w:rPr>
          <w:rFonts w:ascii="Arial" w:hAnsi="Arial" w:cs="Arial"/>
        </w:rPr>
        <w:t>hen granting a</w:t>
      </w:r>
      <w:r>
        <w:rPr>
          <w:rFonts w:ascii="Arial" w:hAnsi="Arial" w:cs="Arial"/>
        </w:rPr>
        <w:t>n HMO</w:t>
      </w:r>
      <w:r w:rsidRPr="006C6509">
        <w:rPr>
          <w:rFonts w:ascii="Arial" w:hAnsi="Arial" w:cs="Arial"/>
        </w:rPr>
        <w:t xml:space="preserve"> licence, under the Housing Act s66</w:t>
      </w:r>
      <w:r>
        <w:rPr>
          <w:rFonts w:ascii="Arial" w:hAnsi="Arial" w:cs="Arial"/>
        </w:rPr>
        <w:t xml:space="preserve"> the Council</w:t>
      </w:r>
      <w:r w:rsidRPr="006C6509">
        <w:rPr>
          <w:rFonts w:ascii="Arial" w:hAnsi="Arial" w:cs="Arial"/>
        </w:rPr>
        <w:t xml:space="preserve"> must be satisfied that the proposed licence holder is a fit and proper person and there are satisfactory management arrangements in </w:t>
      </w:r>
      <w:r>
        <w:rPr>
          <w:rFonts w:ascii="Arial" w:hAnsi="Arial" w:cs="Arial"/>
        </w:rPr>
        <w:t xml:space="preserve">place and </w:t>
      </w:r>
      <w:r w:rsidRPr="006C6509">
        <w:rPr>
          <w:rFonts w:ascii="Arial" w:hAnsi="Arial" w:cs="Arial"/>
        </w:rPr>
        <w:t>must consider, amongst other things:</w:t>
      </w:r>
    </w:p>
    <w:p w:rsidR="00DB54A4" w:rsidRPr="006C6509" w:rsidRDefault="00DB54A4" w:rsidP="00DB54A4">
      <w:pPr>
        <w:pStyle w:val="ListParagraph"/>
        <w:numPr>
          <w:ilvl w:val="0"/>
          <w:numId w:val="5"/>
        </w:numPr>
        <w:spacing w:after="160" w:line="259" w:lineRule="auto"/>
        <w:rPr>
          <w:rFonts w:ascii="Arial" w:hAnsi="Arial" w:cs="Arial"/>
        </w:rPr>
      </w:pPr>
      <w:r w:rsidRPr="006C6509">
        <w:rPr>
          <w:rFonts w:ascii="Arial" w:hAnsi="Arial" w:cs="Arial"/>
        </w:rPr>
        <w:t>Whether the licence holder (or manager) has contravened</w:t>
      </w:r>
      <w:r w:rsidRPr="006C6509">
        <w:rPr>
          <w:rStyle w:val="FootnoteReference"/>
          <w:rFonts w:ascii="Arial" w:hAnsi="Arial" w:cs="Arial"/>
        </w:rPr>
        <w:footnoteReference w:id="1"/>
      </w:r>
      <w:r w:rsidRPr="006C6509">
        <w:rPr>
          <w:rFonts w:ascii="Arial" w:hAnsi="Arial" w:cs="Arial"/>
        </w:rPr>
        <w:t xml:space="preserve"> any provision of the law relating to housing or of landlord and tenant law (s66(2)(c));</w:t>
      </w:r>
    </w:p>
    <w:p w:rsidR="00DB54A4" w:rsidRPr="006C6509" w:rsidRDefault="00DB54A4" w:rsidP="00DB54A4">
      <w:pPr>
        <w:pStyle w:val="ListParagraph"/>
        <w:numPr>
          <w:ilvl w:val="0"/>
          <w:numId w:val="5"/>
        </w:numPr>
        <w:spacing w:after="160" w:line="259" w:lineRule="auto"/>
        <w:rPr>
          <w:rFonts w:ascii="Arial" w:hAnsi="Arial" w:cs="Arial"/>
        </w:rPr>
      </w:pPr>
      <w:r w:rsidRPr="006C6509">
        <w:rPr>
          <w:rFonts w:ascii="Arial" w:hAnsi="Arial" w:cs="Arial"/>
        </w:rPr>
        <w:t>Whether any person proposed to be involved in the management of the house has a sufficient level of competence to be so involved (s66(6)(a));</w:t>
      </w:r>
    </w:p>
    <w:p w:rsidR="00DB54A4" w:rsidRPr="006C6509" w:rsidRDefault="00DB54A4" w:rsidP="00DB54A4">
      <w:pPr>
        <w:pStyle w:val="ListParagraph"/>
        <w:numPr>
          <w:ilvl w:val="0"/>
          <w:numId w:val="5"/>
        </w:numPr>
        <w:spacing w:after="160" w:line="259" w:lineRule="auto"/>
        <w:rPr>
          <w:rFonts w:ascii="Arial" w:hAnsi="Arial" w:cs="Arial"/>
        </w:rPr>
      </w:pPr>
      <w:r w:rsidRPr="006C6509">
        <w:rPr>
          <w:rFonts w:ascii="Arial" w:hAnsi="Arial" w:cs="Arial"/>
        </w:rPr>
        <w:t>Whether any proposed management structures and funding arrangements are suitable (s66(6)(c));.</w:t>
      </w:r>
    </w:p>
    <w:p w:rsidR="00DB54A4" w:rsidRPr="006C6509" w:rsidRDefault="00DB54A4" w:rsidP="00DB54A4">
      <w:pPr>
        <w:rPr>
          <w:rFonts w:ascii="Arial" w:hAnsi="Arial" w:cs="Arial"/>
        </w:rPr>
      </w:pPr>
      <w:r w:rsidRPr="006C6509">
        <w:rPr>
          <w:rFonts w:ascii="Arial" w:hAnsi="Arial" w:cs="Arial"/>
        </w:rPr>
        <w:t>The licence can be refused if</w:t>
      </w:r>
      <w:r>
        <w:rPr>
          <w:rFonts w:ascii="Arial" w:hAnsi="Arial" w:cs="Arial"/>
        </w:rPr>
        <w:t xml:space="preserve"> the Council is not satisfied the above criteria have been met.</w:t>
      </w:r>
      <w:r w:rsidRPr="006C6509">
        <w:rPr>
          <w:rFonts w:ascii="Arial" w:hAnsi="Arial" w:cs="Arial"/>
        </w:rPr>
        <w:t xml:space="preserve"> However, there are likely to be cases where serious concerns are raised and it is felt that refusal is not proportionate to the concerns raised. </w:t>
      </w:r>
    </w:p>
    <w:p w:rsidR="00DB54A4" w:rsidRPr="006C6509" w:rsidRDefault="00DB54A4" w:rsidP="00DB54A4">
      <w:pPr>
        <w:rPr>
          <w:rFonts w:ascii="Arial" w:hAnsi="Arial" w:cs="Arial"/>
        </w:rPr>
      </w:pPr>
      <w:r w:rsidRPr="006C6509">
        <w:rPr>
          <w:rFonts w:ascii="Arial" w:hAnsi="Arial" w:cs="Arial"/>
        </w:rPr>
        <w:t xml:space="preserve">When granting an HMO licence, the council must also be satisfied that the HMO is suitable for the maximum number of occupants, having regard to the test for suitability (s65). Conditions can also be added to the licence to make the house suitable for occupants or to regulate the management, use, occupation, condition and content (s67(1)(2)). </w:t>
      </w:r>
    </w:p>
    <w:p w:rsidR="00DB54A4" w:rsidRPr="006C6509" w:rsidRDefault="00DB54A4" w:rsidP="00DB54A4">
      <w:pPr>
        <w:rPr>
          <w:rFonts w:ascii="Arial" w:hAnsi="Arial" w:cs="Arial"/>
        </w:rPr>
      </w:pPr>
      <w:r w:rsidRPr="006C6509">
        <w:rPr>
          <w:rFonts w:ascii="Arial" w:hAnsi="Arial" w:cs="Arial"/>
        </w:rPr>
        <w:t>The Housing Act 2004 s68(4) states that a licence must not be in force for more than five years (i.e. the maximum length is five years). With regard to HMOs, the default is that licences are issued for one year unless the HMO is suitable and the licence holder and manager demonstrate good management. Issuing HMO licences for one year allows:</w:t>
      </w:r>
    </w:p>
    <w:p w:rsidR="00DB54A4" w:rsidRPr="006C6509" w:rsidRDefault="00DB54A4" w:rsidP="00DB54A4">
      <w:pPr>
        <w:pStyle w:val="ListParagraph"/>
        <w:numPr>
          <w:ilvl w:val="0"/>
          <w:numId w:val="6"/>
        </w:numPr>
        <w:spacing w:after="160" w:line="259" w:lineRule="auto"/>
        <w:rPr>
          <w:rFonts w:ascii="Arial" w:hAnsi="Arial" w:cs="Arial"/>
        </w:rPr>
      </w:pPr>
      <w:r w:rsidRPr="006C6509">
        <w:rPr>
          <w:rFonts w:ascii="Arial" w:hAnsi="Arial" w:cs="Arial"/>
        </w:rPr>
        <w:t>Outstanding fit and proper person concerns regarding contraventions of housing or landlord and tenant law to be resolved</w:t>
      </w:r>
      <w:r>
        <w:rPr>
          <w:rFonts w:ascii="Arial" w:hAnsi="Arial" w:cs="Arial"/>
        </w:rPr>
        <w:t>;</w:t>
      </w:r>
    </w:p>
    <w:p w:rsidR="00DB54A4" w:rsidRPr="006C6509" w:rsidRDefault="00DB54A4" w:rsidP="00DB54A4">
      <w:pPr>
        <w:pStyle w:val="ListParagraph"/>
        <w:numPr>
          <w:ilvl w:val="0"/>
          <w:numId w:val="6"/>
        </w:numPr>
        <w:spacing w:after="160" w:line="259" w:lineRule="auto"/>
        <w:rPr>
          <w:rFonts w:ascii="Arial" w:hAnsi="Arial" w:cs="Arial"/>
        </w:rPr>
      </w:pPr>
      <w:r w:rsidRPr="006C6509">
        <w:rPr>
          <w:rFonts w:ascii="Arial" w:hAnsi="Arial" w:cs="Arial"/>
        </w:rPr>
        <w:t>Work to be completed so that the HMO is made suitable for the number of occupants</w:t>
      </w:r>
      <w:r>
        <w:rPr>
          <w:rFonts w:ascii="Arial" w:hAnsi="Arial" w:cs="Arial"/>
        </w:rPr>
        <w:t>;</w:t>
      </w:r>
    </w:p>
    <w:p w:rsidR="00DB54A4" w:rsidRPr="006C6509" w:rsidRDefault="00DB54A4" w:rsidP="00DB54A4">
      <w:pPr>
        <w:pStyle w:val="ListParagraph"/>
        <w:numPr>
          <w:ilvl w:val="0"/>
          <w:numId w:val="6"/>
        </w:numPr>
        <w:spacing w:after="160" w:line="259" w:lineRule="auto"/>
        <w:rPr>
          <w:rFonts w:ascii="Arial" w:hAnsi="Arial" w:cs="Arial"/>
        </w:rPr>
      </w:pPr>
      <w:r w:rsidRPr="006C6509">
        <w:rPr>
          <w:rFonts w:ascii="Arial" w:hAnsi="Arial" w:cs="Arial"/>
        </w:rPr>
        <w:t>The licence holder and / or manager to demonstrate they have the necessary competence and that satisfactory management arrangements are in place</w:t>
      </w:r>
      <w:r>
        <w:rPr>
          <w:rFonts w:ascii="Arial" w:hAnsi="Arial" w:cs="Arial"/>
        </w:rPr>
        <w:t>.</w:t>
      </w:r>
    </w:p>
    <w:p w:rsidR="00DB54A4" w:rsidRDefault="00DB54A4" w:rsidP="00DB54A4">
      <w:pPr>
        <w:rPr>
          <w:rFonts w:ascii="Arial" w:hAnsi="Arial" w:cs="Arial"/>
          <w:b/>
          <w:sz w:val="24"/>
          <w:szCs w:val="24"/>
        </w:rPr>
        <w:sectPr w:rsidR="00DB54A4" w:rsidSect="00473F7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6C6509">
        <w:rPr>
          <w:rFonts w:ascii="Arial" w:hAnsi="Arial" w:cs="Arial"/>
        </w:rPr>
        <w:t xml:space="preserve">The non-exhaustive criteria used to determine the appropriate licence length having regard to fit and proper person concerns, </w:t>
      </w:r>
      <w:r w:rsidRPr="00E80554">
        <w:rPr>
          <w:rFonts w:ascii="Arial" w:hAnsi="Arial" w:cs="Arial"/>
        </w:rPr>
        <w:t xml:space="preserve">suitability for occupation, management arrangements and competence is shown in the table below. This is similar to the criteria used in 2015 however it is now clearly stated that planning permission and building control are an explicit criteria – in 2015, this was covered under “good history with council departments”. </w:t>
      </w:r>
      <w:r>
        <w:rPr>
          <w:rFonts w:ascii="Arial" w:hAnsi="Arial" w:cs="Arial"/>
        </w:rPr>
        <w:t>This follows a 2017 Court of Appeal</w:t>
      </w:r>
      <w:r>
        <w:rPr>
          <w:rStyle w:val="FootnoteReference"/>
          <w:rFonts w:ascii="Arial" w:hAnsi="Arial" w:cs="Arial"/>
        </w:rPr>
        <w:footnoteReference w:id="2"/>
      </w:r>
      <w:r>
        <w:rPr>
          <w:rFonts w:ascii="Arial" w:hAnsi="Arial" w:cs="Arial"/>
        </w:rPr>
        <w:t xml:space="preserve"> ruling that planning permission is considered under “use” of an HMO and it is permissible to limit the length of a licence where planning permission is not granted. </w:t>
      </w:r>
      <w:r w:rsidRPr="00E80554">
        <w:rPr>
          <w:rFonts w:ascii="Arial" w:hAnsi="Arial" w:cs="Arial"/>
        </w:rPr>
        <w:t xml:space="preserve">With the rise in number of HMOs, it is important </w:t>
      </w:r>
      <w:r>
        <w:rPr>
          <w:rFonts w:ascii="Arial" w:hAnsi="Arial" w:cs="Arial"/>
        </w:rPr>
        <w:t>that planning permission is</w:t>
      </w:r>
      <w:r w:rsidRPr="00E80554">
        <w:rPr>
          <w:rFonts w:ascii="Arial" w:hAnsi="Arial" w:cs="Arial"/>
        </w:rPr>
        <w:t xml:space="preserve"> gained. This also makes it much clearer to landlords that we consider this criteria, this reflects feedback from the consultation and generally that landlords may think a licence and planning permission is the same.</w:t>
      </w:r>
    </w:p>
    <w:tbl>
      <w:tblPr>
        <w:tblStyle w:val="TableGrid"/>
        <w:tblW w:w="0" w:type="auto"/>
        <w:tblLook w:val="04A0" w:firstRow="1" w:lastRow="0" w:firstColumn="1" w:lastColumn="0" w:noHBand="0" w:noVBand="1"/>
      </w:tblPr>
      <w:tblGrid>
        <w:gridCol w:w="2021"/>
        <w:gridCol w:w="2522"/>
        <w:gridCol w:w="2251"/>
        <w:gridCol w:w="2222"/>
      </w:tblGrid>
      <w:tr w:rsidR="00DB54A4" w:rsidTr="009C1D4F">
        <w:tc>
          <w:tcPr>
            <w:tcW w:w="13948" w:type="dxa"/>
            <w:gridSpan w:val="4"/>
            <w:shd w:val="clear" w:color="auto" w:fill="9CC2E5" w:themeFill="accent1" w:themeFillTint="99"/>
          </w:tcPr>
          <w:p w:rsidR="00DB54A4" w:rsidRPr="00D54750" w:rsidRDefault="00DB54A4" w:rsidP="009C1D4F">
            <w:pPr>
              <w:jc w:val="center"/>
              <w:rPr>
                <w:rFonts w:ascii="Arial" w:hAnsi="Arial" w:cs="Arial"/>
                <w:b/>
              </w:rPr>
            </w:pPr>
            <w:r w:rsidRPr="00D54750">
              <w:rPr>
                <w:rFonts w:ascii="Arial" w:hAnsi="Arial" w:cs="Arial"/>
                <w:b/>
              </w:rPr>
              <w:lastRenderedPageBreak/>
              <w:t>Non – exhaustive criteria applied when deciding on licence length, for both new and renewal licence applications.</w:t>
            </w:r>
          </w:p>
          <w:p w:rsidR="00DB54A4" w:rsidRPr="00D54750" w:rsidRDefault="00DB54A4" w:rsidP="009C1D4F">
            <w:pPr>
              <w:jc w:val="center"/>
              <w:rPr>
                <w:rFonts w:ascii="Arial" w:hAnsi="Arial" w:cs="Arial"/>
              </w:rPr>
            </w:pPr>
            <w:r w:rsidRPr="00D54750">
              <w:rPr>
                <w:rFonts w:ascii="Arial" w:hAnsi="Arial" w:cs="Arial"/>
              </w:rPr>
              <w:t>For agencies, a judgement is made based on general portfolio management and the specific property</w:t>
            </w:r>
          </w:p>
          <w:p w:rsidR="00DB54A4" w:rsidRPr="00D54750" w:rsidRDefault="00DB54A4" w:rsidP="009C1D4F">
            <w:pPr>
              <w:jc w:val="center"/>
              <w:rPr>
                <w:rFonts w:ascii="Arial" w:hAnsi="Arial" w:cs="Arial"/>
                <w:b/>
              </w:rPr>
            </w:pPr>
          </w:p>
        </w:tc>
      </w:tr>
      <w:tr w:rsidR="00DB54A4" w:rsidTr="009C1D4F">
        <w:tc>
          <w:tcPr>
            <w:tcW w:w="3249" w:type="dxa"/>
            <w:shd w:val="clear" w:color="auto" w:fill="9CC2E5" w:themeFill="accent1" w:themeFillTint="99"/>
          </w:tcPr>
          <w:p w:rsidR="00DB54A4" w:rsidRPr="00D54750" w:rsidRDefault="00DB54A4" w:rsidP="009C1D4F">
            <w:pPr>
              <w:jc w:val="center"/>
              <w:rPr>
                <w:rFonts w:ascii="Arial" w:hAnsi="Arial" w:cs="Arial"/>
                <w:b/>
              </w:rPr>
            </w:pPr>
            <w:r w:rsidRPr="00D54750">
              <w:rPr>
                <w:rFonts w:ascii="Arial" w:hAnsi="Arial" w:cs="Arial"/>
                <w:b/>
              </w:rPr>
              <w:t>Factor</w:t>
            </w:r>
          </w:p>
        </w:tc>
        <w:tc>
          <w:tcPr>
            <w:tcW w:w="3690" w:type="dxa"/>
            <w:shd w:val="clear" w:color="auto" w:fill="9CC2E5" w:themeFill="accent1" w:themeFillTint="99"/>
          </w:tcPr>
          <w:p w:rsidR="00DB54A4" w:rsidRPr="00D54750" w:rsidRDefault="00DB54A4" w:rsidP="009C1D4F">
            <w:pPr>
              <w:jc w:val="center"/>
              <w:rPr>
                <w:rFonts w:ascii="Arial" w:hAnsi="Arial" w:cs="Arial"/>
                <w:b/>
              </w:rPr>
            </w:pPr>
            <w:r w:rsidRPr="00D54750">
              <w:rPr>
                <w:rFonts w:ascii="Arial" w:hAnsi="Arial" w:cs="Arial"/>
                <w:b/>
              </w:rPr>
              <w:t>1 year</w:t>
            </w:r>
          </w:p>
          <w:p w:rsidR="00DB54A4" w:rsidRPr="00D54750" w:rsidRDefault="00DB54A4" w:rsidP="009C1D4F">
            <w:pPr>
              <w:jc w:val="center"/>
              <w:rPr>
                <w:rFonts w:ascii="Arial" w:hAnsi="Arial" w:cs="Arial"/>
                <w:b/>
              </w:rPr>
            </w:pPr>
          </w:p>
        </w:tc>
        <w:tc>
          <w:tcPr>
            <w:tcW w:w="3511" w:type="dxa"/>
            <w:shd w:val="clear" w:color="auto" w:fill="9CC2E5" w:themeFill="accent1" w:themeFillTint="99"/>
          </w:tcPr>
          <w:p w:rsidR="00DB54A4" w:rsidRPr="00D54750" w:rsidRDefault="00DB54A4" w:rsidP="009C1D4F">
            <w:pPr>
              <w:jc w:val="center"/>
              <w:rPr>
                <w:rFonts w:ascii="Arial" w:hAnsi="Arial" w:cs="Arial"/>
                <w:b/>
              </w:rPr>
            </w:pPr>
            <w:r w:rsidRPr="00D54750">
              <w:rPr>
                <w:rFonts w:ascii="Arial" w:hAnsi="Arial" w:cs="Arial"/>
                <w:b/>
              </w:rPr>
              <w:t>2 year</w:t>
            </w:r>
          </w:p>
          <w:p w:rsidR="00DB54A4" w:rsidRPr="00D54750" w:rsidRDefault="00DB54A4" w:rsidP="009C1D4F">
            <w:pPr>
              <w:jc w:val="center"/>
              <w:rPr>
                <w:rFonts w:ascii="Arial" w:hAnsi="Arial" w:cs="Arial"/>
                <w:b/>
              </w:rPr>
            </w:pPr>
          </w:p>
        </w:tc>
        <w:tc>
          <w:tcPr>
            <w:tcW w:w="3498" w:type="dxa"/>
            <w:shd w:val="clear" w:color="auto" w:fill="9CC2E5" w:themeFill="accent1" w:themeFillTint="99"/>
          </w:tcPr>
          <w:p w:rsidR="00DB54A4" w:rsidRPr="00D54750" w:rsidRDefault="00DB54A4" w:rsidP="009C1D4F">
            <w:pPr>
              <w:jc w:val="center"/>
              <w:rPr>
                <w:rFonts w:ascii="Arial" w:hAnsi="Arial" w:cs="Arial"/>
                <w:b/>
              </w:rPr>
            </w:pPr>
            <w:r w:rsidRPr="00D54750">
              <w:rPr>
                <w:rFonts w:ascii="Arial" w:hAnsi="Arial" w:cs="Arial"/>
                <w:b/>
              </w:rPr>
              <w:t>5 year</w:t>
            </w:r>
          </w:p>
          <w:p w:rsidR="00DB54A4" w:rsidRPr="00D54750" w:rsidRDefault="00DB54A4" w:rsidP="009C1D4F">
            <w:pPr>
              <w:jc w:val="center"/>
              <w:rPr>
                <w:rFonts w:ascii="Arial" w:hAnsi="Arial" w:cs="Arial"/>
                <w:b/>
              </w:rPr>
            </w:pPr>
          </w:p>
        </w:tc>
      </w:tr>
      <w:tr w:rsidR="00DB54A4" w:rsidTr="009C1D4F">
        <w:tc>
          <w:tcPr>
            <w:tcW w:w="3249" w:type="dxa"/>
          </w:tcPr>
          <w:p w:rsidR="00DB54A4" w:rsidRPr="00D54750" w:rsidRDefault="00DB54A4" w:rsidP="009C1D4F">
            <w:pPr>
              <w:rPr>
                <w:rFonts w:ascii="Arial" w:hAnsi="Arial" w:cs="Arial"/>
                <w:b/>
              </w:rPr>
            </w:pPr>
            <w:r w:rsidRPr="00D54750">
              <w:rPr>
                <w:rFonts w:ascii="Arial" w:hAnsi="Arial" w:cs="Arial"/>
                <w:b/>
              </w:rPr>
              <w:t>Fit and Proper Person Concerns</w:t>
            </w:r>
          </w:p>
        </w:tc>
        <w:tc>
          <w:tcPr>
            <w:tcW w:w="3690" w:type="dxa"/>
          </w:tcPr>
          <w:p w:rsidR="00DB54A4" w:rsidRPr="00D54750" w:rsidRDefault="00DB54A4" w:rsidP="00DB54A4">
            <w:pPr>
              <w:pStyle w:val="ListParagraph"/>
              <w:numPr>
                <w:ilvl w:val="0"/>
                <w:numId w:val="3"/>
              </w:numPr>
              <w:spacing w:after="0" w:line="240" w:lineRule="auto"/>
              <w:rPr>
                <w:rFonts w:ascii="Arial" w:hAnsi="Arial" w:cs="Arial"/>
              </w:rPr>
            </w:pPr>
            <w:r w:rsidRPr="00D54750">
              <w:rPr>
                <w:rFonts w:ascii="Arial" w:hAnsi="Arial" w:cs="Arial"/>
              </w:rPr>
              <w:t>Civil penalty issued;</w:t>
            </w:r>
          </w:p>
          <w:p w:rsidR="00DB54A4" w:rsidRPr="00D54750" w:rsidRDefault="00DB54A4" w:rsidP="00DB54A4">
            <w:pPr>
              <w:pStyle w:val="ListParagraph"/>
              <w:numPr>
                <w:ilvl w:val="0"/>
                <w:numId w:val="3"/>
              </w:numPr>
              <w:spacing w:after="0" w:line="240" w:lineRule="auto"/>
              <w:rPr>
                <w:rFonts w:ascii="Arial" w:hAnsi="Arial" w:cs="Arial"/>
              </w:rPr>
            </w:pPr>
            <w:r w:rsidRPr="00D54750">
              <w:rPr>
                <w:rFonts w:ascii="Arial" w:hAnsi="Arial" w:cs="Arial"/>
              </w:rPr>
              <w:t>Open investigation for failure to comply with housing or landlord and tenant law e.g. illegal eviction, failure to comply with management regulations</w:t>
            </w:r>
          </w:p>
          <w:p w:rsidR="00DB54A4" w:rsidRPr="00D54750" w:rsidRDefault="00DB54A4" w:rsidP="009C1D4F">
            <w:pPr>
              <w:pStyle w:val="ListParagraph"/>
              <w:numPr>
                <w:ilvl w:val="0"/>
                <w:numId w:val="3"/>
              </w:numPr>
              <w:spacing w:after="160" w:line="259" w:lineRule="auto"/>
              <w:rPr>
                <w:rFonts w:ascii="Arial" w:hAnsi="Arial" w:cs="Arial"/>
              </w:rPr>
            </w:pPr>
            <w:r w:rsidRPr="00D54750">
              <w:rPr>
                <w:rFonts w:ascii="Arial" w:hAnsi="Arial" w:cs="Arial"/>
              </w:rPr>
              <w:t>Prohibition Order or Improvement Notice served on property that is not yet complied with;</w:t>
            </w:r>
          </w:p>
        </w:tc>
        <w:tc>
          <w:tcPr>
            <w:tcW w:w="3511" w:type="dxa"/>
          </w:tcPr>
          <w:p w:rsidR="00DB54A4" w:rsidRPr="00D54750" w:rsidRDefault="00DB54A4" w:rsidP="00DB54A4">
            <w:pPr>
              <w:pStyle w:val="ListParagraph"/>
              <w:numPr>
                <w:ilvl w:val="0"/>
                <w:numId w:val="3"/>
              </w:numPr>
              <w:spacing w:after="0" w:line="240" w:lineRule="auto"/>
              <w:rPr>
                <w:rFonts w:ascii="Arial" w:hAnsi="Arial" w:cs="Arial"/>
              </w:rPr>
            </w:pPr>
            <w:r w:rsidRPr="00D54750">
              <w:rPr>
                <w:rFonts w:ascii="Arial" w:hAnsi="Arial" w:cs="Arial"/>
              </w:rPr>
              <w:t>No concerns</w:t>
            </w:r>
          </w:p>
        </w:tc>
        <w:tc>
          <w:tcPr>
            <w:tcW w:w="3498" w:type="dxa"/>
          </w:tcPr>
          <w:p w:rsidR="00DB54A4" w:rsidRPr="00D54750" w:rsidRDefault="00DB54A4" w:rsidP="00DB54A4">
            <w:pPr>
              <w:pStyle w:val="ListParagraph"/>
              <w:numPr>
                <w:ilvl w:val="0"/>
                <w:numId w:val="3"/>
              </w:numPr>
              <w:spacing w:after="0" w:line="240" w:lineRule="auto"/>
              <w:rPr>
                <w:rFonts w:ascii="Arial" w:hAnsi="Arial" w:cs="Arial"/>
              </w:rPr>
            </w:pPr>
            <w:r w:rsidRPr="00D54750">
              <w:rPr>
                <w:rFonts w:ascii="Arial" w:hAnsi="Arial" w:cs="Arial"/>
              </w:rPr>
              <w:t>No concerns</w:t>
            </w:r>
          </w:p>
        </w:tc>
      </w:tr>
      <w:tr w:rsidR="00DB54A4" w:rsidTr="009C1D4F">
        <w:tc>
          <w:tcPr>
            <w:tcW w:w="3249" w:type="dxa"/>
          </w:tcPr>
          <w:p w:rsidR="00DB54A4" w:rsidRPr="00D54750" w:rsidRDefault="00DB54A4" w:rsidP="009C1D4F">
            <w:pPr>
              <w:rPr>
                <w:rFonts w:ascii="Arial" w:hAnsi="Arial" w:cs="Arial"/>
                <w:b/>
              </w:rPr>
            </w:pPr>
            <w:r w:rsidRPr="00D54750">
              <w:rPr>
                <w:rFonts w:ascii="Arial" w:hAnsi="Arial" w:cs="Arial"/>
                <w:b/>
              </w:rPr>
              <w:t xml:space="preserve">Suitability for occupation as an HMO </w:t>
            </w:r>
          </w:p>
        </w:tc>
        <w:tc>
          <w:tcPr>
            <w:tcW w:w="3690" w:type="dxa"/>
          </w:tcPr>
          <w:p w:rsidR="00DB54A4" w:rsidRPr="00D54750" w:rsidRDefault="00DB54A4" w:rsidP="00DB54A4">
            <w:pPr>
              <w:pStyle w:val="ListParagraph"/>
              <w:numPr>
                <w:ilvl w:val="0"/>
                <w:numId w:val="4"/>
              </w:numPr>
              <w:spacing w:after="0" w:line="240" w:lineRule="auto"/>
              <w:rPr>
                <w:rFonts w:ascii="Arial" w:hAnsi="Arial" w:cs="Arial"/>
              </w:rPr>
            </w:pPr>
            <w:r w:rsidRPr="00D54750">
              <w:rPr>
                <w:rFonts w:ascii="Arial" w:hAnsi="Arial" w:cs="Arial"/>
              </w:rPr>
              <w:t>Conditions requiring fire precaution work (minor work may be allowed for two year)</w:t>
            </w:r>
          </w:p>
          <w:p w:rsidR="00DB54A4" w:rsidRPr="00D54750" w:rsidRDefault="00DB54A4" w:rsidP="00DB54A4">
            <w:pPr>
              <w:pStyle w:val="ListParagraph"/>
              <w:numPr>
                <w:ilvl w:val="0"/>
                <w:numId w:val="4"/>
              </w:numPr>
              <w:spacing w:after="0" w:line="240" w:lineRule="auto"/>
              <w:rPr>
                <w:rFonts w:ascii="Arial" w:hAnsi="Arial" w:cs="Arial"/>
              </w:rPr>
            </w:pPr>
            <w:r w:rsidRPr="00D54750">
              <w:rPr>
                <w:rFonts w:ascii="Arial" w:hAnsi="Arial" w:cs="Arial"/>
              </w:rPr>
              <w:t>Conditions requiring amenities and facilities to be installed</w:t>
            </w:r>
          </w:p>
          <w:p w:rsidR="00DB54A4" w:rsidRPr="00D54750" w:rsidRDefault="00DB54A4" w:rsidP="00DB54A4">
            <w:pPr>
              <w:pStyle w:val="ListParagraph"/>
              <w:numPr>
                <w:ilvl w:val="0"/>
                <w:numId w:val="4"/>
              </w:numPr>
              <w:spacing w:after="0" w:line="240" w:lineRule="auto"/>
              <w:rPr>
                <w:rFonts w:ascii="Arial" w:hAnsi="Arial" w:cs="Arial"/>
              </w:rPr>
            </w:pPr>
            <w:r w:rsidRPr="00D54750">
              <w:rPr>
                <w:rFonts w:ascii="Arial" w:hAnsi="Arial" w:cs="Arial"/>
              </w:rPr>
              <w:t>Serious health and safety / disrepair conditions e.g. trip / fall hazards; heating requirements; windows need replacing</w:t>
            </w:r>
          </w:p>
          <w:p w:rsidR="00DB54A4" w:rsidRPr="00D54750" w:rsidRDefault="00DB54A4" w:rsidP="00DB54A4">
            <w:pPr>
              <w:pStyle w:val="ListParagraph"/>
              <w:numPr>
                <w:ilvl w:val="0"/>
                <w:numId w:val="4"/>
              </w:numPr>
              <w:spacing w:after="0" w:line="240" w:lineRule="auto"/>
              <w:rPr>
                <w:rFonts w:ascii="Arial" w:hAnsi="Arial" w:cs="Arial"/>
              </w:rPr>
            </w:pPr>
            <w:r w:rsidRPr="00D54750">
              <w:rPr>
                <w:rFonts w:ascii="Arial" w:hAnsi="Arial" w:cs="Arial"/>
              </w:rPr>
              <w:t>Conditions not completed on time (either at revisit but before new licence or conditions carried over)</w:t>
            </w:r>
          </w:p>
        </w:tc>
        <w:tc>
          <w:tcPr>
            <w:tcW w:w="3511" w:type="dxa"/>
          </w:tcPr>
          <w:p w:rsidR="00DB54A4" w:rsidRPr="00D54750" w:rsidRDefault="00DB54A4" w:rsidP="00DB54A4">
            <w:pPr>
              <w:pStyle w:val="ListParagraph"/>
              <w:numPr>
                <w:ilvl w:val="0"/>
                <w:numId w:val="4"/>
              </w:numPr>
              <w:spacing w:after="0" w:line="240" w:lineRule="auto"/>
              <w:rPr>
                <w:rFonts w:ascii="Arial" w:hAnsi="Arial" w:cs="Arial"/>
              </w:rPr>
            </w:pPr>
            <w:r w:rsidRPr="00D54750">
              <w:rPr>
                <w:rFonts w:ascii="Arial" w:hAnsi="Arial" w:cs="Arial"/>
              </w:rPr>
              <w:t>Minor repair work e.g. decorative work or minor fire precaution work e.g. adjust / fit self-closer, fire blanket not wall mounted</w:t>
            </w:r>
          </w:p>
        </w:tc>
        <w:tc>
          <w:tcPr>
            <w:tcW w:w="3498" w:type="dxa"/>
          </w:tcPr>
          <w:p w:rsidR="00DB54A4" w:rsidRPr="00D54750" w:rsidRDefault="00DB54A4" w:rsidP="00DB54A4">
            <w:pPr>
              <w:pStyle w:val="ListParagraph"/>
              <w:numPr>
                <w:ilvl w:val="0"/>
                <w:numId w:val="4"/>
              </w:numPr>
              <w:tabs>
                <w:tab w:val="right" w:pos="3328"/>
              </w:tabs>
              <w:spacing w:after="0" w:line="240" w:lineRule="auto"/>
              <w:rPr>
                <w:rFonts w:ascii="Arial" w:hAnsi="Arial" w:cs="Arial"/>
              </w:rPr>
            </w:pPr>
            <w:r w:rsidRPr="00D54750">
              <w:rPr>
                <w:rFonts w:ascii="Arial" w:hAnsi="Arial" w:cs="Arial"/>
              </w:rPr>
              <w:t xml:space="preserve">No additional conditions </w:t>
            </w:r>
          </w:p>
        </w:tc>
      </w:tr>
    </w:tbl>
    <w:p w:rsidR="00DB54A4" w:rsidRDefault="00DB54A4" w:rsidP="00DB54A4">
      <w:r>
        <w:br w:type="page"/>
      </w:r>
    </w:p>
    <w:tbl>
      <w:tblPr>
        <w:tblStyle w:val="TableGrid"/>
        <w:tblW w:w="0" w:type="auto"/>
        <w:tblLook w:val="04A0" w:firstRow="1" w:lastRow="0" w:firstColumn="1" w:lastColumn="0" w:noHBand="0" w:noVBand="1"/>
      </w:tblPr>
      <w:tblGrid>
        <w:gridCol w:w="1864"/>
        <w:gridCol w:w="252"/>
        <w:gridCol w:w="2158"/>
        <w:gridCol w:w="296"/>
        <w:gridCol w:w="2076"/>
        <w:gridCol w:w="187"/>
        <w:gridCol w:w="2183"/>
      </w:tblGrid>
      <w:tr w:rsidR="00DB54A4" w:rsidTr="006D1E05">
        <w:tc>
          <w:tcPr>
            <w:tcW w:w="9016" w:type="dxa"/>
            <w:gridSpan w:val="7"/>
            <w:shd w:val="clear" w:color="auto" w:fill="9CC2E5" w:themeFill="accent1" w:themeFillTint="99"/>
          </w:tcPr>
          <w:p w:rsidR="00DB54A4" w:rsidRPr="00D54750" w:rsidRDefault="00DB54A4" w:rsidP="009C1D4F">
            <w:pPr>
              <w:jc w:val="center"/>
              <w:rPr>
                <w:rFonts w:ascii="Arial" w:hAnsi="Arial" w:cs="Arial"/>
                <w:b/>
              </w:rPr>
            </w:pPr>
            <w:r w:rsidRPr="00D54750">
              <w:rPr>
                <w:rFonts w:ascii="Arial" w:hAnsi="Arial" w:cs="Arial"/>
                <w:b/>
              </w:rPr>
              <w:lastRenderedPageBreak/>
              <w:t>Non – exhaustive criteria applied when deciding on licence length, for both new and renewal licence applications.</w:t>
            </w:r>
          </w:p>
          <w:p w:rsidR="00DB54A4" w:rsidRPr="00D54750" w:rsidRDefault="00DB54A4" w:rsidP="00DB54A4">
            <w:pPr>
              <w:jc w:val="center"/>
              <w:rPr>
                <w:rFonts w:ascii="Arial" w:hAnsi="Arial" w:cs="Arial"/>
                <w:b/>
              </w:rPr>
            </w:pPr>
            <w:r w:rsidRPr="00D54750">
              <w:rPr>
                <w:rFonts w:ascii="Arial" w:hAnsi="Arial" w:cs="Arial"/>
              </w:rPr>
              <w:t>For agencies, a judgement is made based on general portfolio management and the specific property</w:t>
            </w:r>
          </w:p>
        </w:tc>
      </w:tr>
      <w:tr w:rsidR="00DB54A4" w:rsidTr="006D1E05">
        <w:tc>
          <w:tcPr>
            <w:tcW w:w="2116" w:type="dxa"/>
            <w:gridSpan w:val="2"/>
            <w:shd w:val="clear" w:color="auto" w:fill="9CC2E5" w:themeFill="accent1" w:themeFillTint="99"/>
          </w:tcPr>
          <w:p w:rsidR="00DB54A4" w:rsidRPr="00D54750" w:rsidRDefault="00DB54A4" w:rsidP="009C1D4F">
            <w:pPr>
              <w:jc w:val="center"/>
              <w:rPr>
                <w:rFonts w:ascii="Arial" w:hAnsi="Arial" w:cs="Arial"/>
                <w:b/>
              </w:rPr>
            </w:pPr>
            <w:r w:rsidRPr="00D54750">
              <w:rPr>
                <w:rFonts w:ascii="Arial" w:hAnsi="Arial" w:cs="Arial"/>
                <w:b/>
              </w:rPr>
              <w:t>Factor</w:t>
            </w:r>
          </w:p>
        </w:tc>
        <w:tc>
          <w:tcPr>
            <w:tcW w:w="2454" w:type="dxa"/>
            <w:gridSpan w:val="2"/>
            <w:shd w:val="clear" w:color="auto" w:fill="9CC2E5" w:themeFill="accent1" w:themeFillTint="99"/>
          </w:tcPr>
          <w:p w:rsidR="00DB54A4" w:rsidRPr="00D54750" w:rsidRDefault="00DB54A4" w:rsidP="00DB54A4">
            <w:pPr>
              <w:jc w:val="center"/>
              <w:rPr>
                <w:rFonts w:ascii="Arial" w:hAnsi="Arial" w:cs="Arial"/>
                <w:b/>
              </w:rPr>
            </w:pPr>
            <w:r w:rsidRPr="00D54750">
              <w:rPr>
                <w:rFonts w:ascii="Arial" w:hAnsi="Arial" w:cs="Arial"/>
                <w:b/>
              </w:rPr>
              <w:t>1 year</w:t>
            </w:r>
          </w:p>
        </w:tc>
        <w:tc>
          <w:tcPr>
            <w:tcW w:w="2263" w:type="dxa"/>
            <w:gridSpan w:val="2"/>
            <w:shd w:val="clear" w:color="auto" w:fill="9CC2E5" w:themeFill="accent1" w:themeFillTint="99"/>
          </w:tcPr>
          <w:p w:rsidR="00DB54A4" w:rsidRPr="00D54750" w:rsidRDefault="00DB54A4" w:rsidP="00DB54A4">
            <w:pPr>
              <w:jc w:val="center"/>
              <w:rPr>
                <w:rFonts w:ascii="Arial" w:hAnsi="Arial" w:cs="Arial"/>
                <w:b/>
              </w:rPr>
            </w:pPr>
            <w:r w:rsidRPr="00D54750">
              <w:rPr>
                <w:rFonts w:ascii="Arial" w:hAnsi="Arial" w:cs="Arial"/>
                <w:b/>
              </w:rPr>
              <w:t>2 year</w:t>
            </w:r>
          </w:p>
        </w:tc>
        <w:tc>
          <w:tcPr>
            <w:tcW w:w="2183" w:type="dxa"/>
            <w:shd w:val="clear" w:color="auto" w:fill="9CC2E5" w:themeFill="accent1" w:themeFillTint="99"/>
          </w:tcPr>
          <w:p w:rsidR="00DB54A4" w:rsidRPr="00D54750" w:rsidRDefault="00DB54A4" w:rsidP="00DB54A4">
            <w:pPr>
              <w:jc w:val="center"/>
              <w:rPr>
                <w:rFonts w:ascii="Arial" w:hAnsi="Arial" w:cs="Arial"/>
                <w:b/>
              </w:rPr>
            </w:pPr>
            <w:r w:rsidRPr="00D54750">
              <w:rPr>
                <w:rFonts w:ascii="Arial" w:hAnsi="Arial" w:cs="Arial"/>
                <w:b/>
              </w:rPr>
              <w:t>5 year</w:t>
            </w:r>
          </w:p>
        </w:tc>
      </w:tr>
      <w:tr w:rsidR="00DB54A4" w:rsidTr="006D1E05">
        <w:tc>
          <w:tcPr>
            <w:tcW w:w="2116" w:type="dxa"/>
            <w:gridSpan w:val="2"/>
          </w:tcPr>
          <w:p w:rsidR="00DB54A4" w:rsidRPr="00D54750" w:rsidRDefault="00DB54A4" w:rsidP="009C1D4F">
            <w:pPr>
              <w:rPr>
                <w:rFonts w:ascii="Arial" w:hAnsi="Arial" w:cs="Arial"/>
                <w:b/>
              </w:rPr>
            </w:pPr>
            <w:r w:rsidRPr="00D54750">
              <w:rPr>
                <w:rFonts w:ascii="Arial" w:hAnsi="Arial" w:cs="Arial"/>
                <w:b/>
              </w:rPr>
              <w:t xml:space="preserve">Competence and satisfactory management arrangements </w:t>
            </w:r>
          </w:p>
        </w:tc>
        <w:tc>
          <w:tcPr>
            <w:tcW w:w="2454" w:type="dxa"/>
            <w:gridSpan w:val="2"/>
          </w:tcPr>
          <w:p w:rsidR="00DB54A4" w:rsidRPr="00D54750" w:rsidRDefault="00DB54A4" w:rsidP="009C1D4F">
            <w:pPr>
              <w:pStyle w:val="ListParagraph"/>
              <w:numPr>
                <w:ilvl w:val="0"/>
                <w:numId w:val="1"/>
              </w:numPr>
              <w:spacing w:after="160" w:line="259" w:lineRule="auto"/>
              <w:rPr>
                <w:rFonts w:ascii="Arial" w:hAnsi="Arial" w:cs="Arial"/>
              </w:rPr>
            </w:pPr>
            <w:r w:rsidRPr="00D54750">
              <w:rPr>
                <w:rFonts w:ascii="Arial" w:hAnsi="Arial" w:cs="Arial"/>
              </w:rPr>
              <w:t>3 or more justified</w:t>
            </w:r>
            <w:r w:rsidRPr="00D54750">
              <w:rPr>
                <w:rStyle w:val="FootnoteReference"/>
                <w:rFonts w:ascii="Arial" w:hAnsi="Arial" w:cs="Arial"/>
              </w:rPr>
              <w:footnoteReference w:id="3"/>
            </w:r>
            <w:r w:rsidRPr="00D54750">
              <w:rPr>
                <w:rFonts w:ascii="Arial" w:hAnsi="Arial" w:cs="Arial"/>
              </w:rPr>
              <w:t xml:space="preserve"> complaints received over the last two years regarding the licence holder and / or property demonstrating poor management;</w:t>
            </w:r>
          </w:p>
          <w:p w:rsidR="00DB54A4" w:rsidRDefault="00DB54A4" w:rsidP="00DB54A4">
            <w:pPr>
              <w:pStyle w:val="ListParagraph"/>
              <w:numPr>
                <w:ilvl w:val="0"/>
                <w:numId w:val="1"/>
              </w:numPr>
              <w:spacing w:after="0" w:line="240" w:lineRule="auto"/>
              <w:rPr>
                <w:rFonts w:ascii="Arial" w:hAnsi="Arial" w:cs="Arial"/>
              </w:rPr>
            </w:pPr>
            <w:r w:rsidRPr="00D54750">
              <w:rPr>
                <w:rFonts w:ascii="Arial" w:hAnsi="Arial" w:cs="Arial"/>
              </w:rPr>
              <w:t xml:space="preserve">Application history is poor – application form, declaration </w:t>
            </w:r>
            <w:r>
              <w:rPr>
                <w:rFonts w:ascii="Arial" w:hAnsi="Arial" w:cs="Arial"/>
              </w:rPr>
              <w:t xml:space="preserve">and fee </w:t>
            </w:r>
            <w:r w:rsidRPr="00D54750">
              <w:rPr>
                <w:rFonts w:ascii="Arial" w:hAnsi="Arial" w:cs="Arial"/>
              </w:rPr>
              <w:t>not submitted on time.</w:t>
            </w:r>
          </w:p>
          <w:p w:rsidR="00DB54A4" w:rsidRPr="008B170C" w:rsidRDefault="00DB54A4" w:rsidP="00DB54A4">
            <w:pPr>
              <w:pStyle w:val="ListParagraph"/>
              <w:numPr>
                <w:ilvl w:val="0"/>
                <w:numId w:val="1"/>
              </w:numPr>
              <w:spacing w:after="0" w:line="240" w:lineRule="auto"/>
              <w:rPr>
                <w:rFonts w:ascii="Arial" w:hAnsi="Arial" w:cs="Arial"/>
              </w:rPr>
            </w:pPr>
            <w:r w:rsidRPr="008B170C">
              <w:rPr>
                <w:rFonts w:ascii="Arial" w:hAnsi="Arial" w:cs="Arial"/>
              </w:rPr>
              <w:t>Reminder needed after initial request for application form, fee and declaration</w:t>
            </w:r>
          </w:p>
          <w:p w:rsidR="00DB54A4" w:rsidRPr="00D54750" w:rsidRDefault="00DB54A4" w:rsidP="00DB54A4">
            <w:pPr>
              <w:pStyle w:val="ListParagraph"/>
              <w:numPr>
                <w:ilvl w:val="0"/>
                <w:numId w:val="1"/>
              </w:numPr>
              <w:spacing w:after="0" w:line="240" w:lineRule="auto"/>
              <w:rPr>
                <w:rFonts w:ascii="Arial" w:hAnsi="Arial" w:cs="Arial"/>
              </w:rPr>
            </w:pPr>
            <w:r>
              <w:rPr>
                <w:rFonts w:ascii="Arial" w:hAnsi="Arial" w:cs="Arial"/>
              </w:rPr>
              <w:t>Stage two fee is not paid as requested</w:t>
            </w:r>
          </w:p>
          <w:p w:rsidR="00DB54A4" w:rsidRPr="00D54750" w:rsidRDefault="00DB54A4" w:rsidP="00DB54A4">
            <w:pPr>
              <w:pStyle w:val="ListParagraph"/>
              <w:numPr>
                <w:ilvl w:val="0"/>
                <w:numId w:val="1"/>
              </w:numPr>
              <w:spacing w:after="0" w:line="240" w:lineRule="auto"/>
              <w:rPr>
                <w:rFonts w:ascii="Arial" w:hAnsi="Arial" w:cs="Arial"/>
              </w:rPr>
            </w:pPr>
            <w:r w:rsidRPr="00D54750">
              <w:rPr>
                <w:rFonts w:ascii="Arial" w:hAnsi="Arial" w:cs="Arial"/>
              </w:rPr>
              <w:t>Certificates not submitted with new application or they have expired on a renewal licence</w:t>
            </w:r>
          </w:p>
          <w:p w:rsidR="00DB54A4" w:rsidRPr="00D54750" w:rsidRDefault="00DB54A4" w:rsidP="00DB54A4">
            <w:pPr>
              <w:pStyle w:val="ListParagraph"/>
              <w:numPr>
                <w:ilvl w:val="0"/>
                <w:numId w:val="1"/>
              </w:numPr>
              <w:spacing w:after="0" w:line="240" w:lineRule="auto"/>
              <w:rPr>
                <w:rFonts w:ascii="Arial" w:hAnsi="Arial" w:cs="Arial"/>
              </w:rPr>
            </w:pPr>
            <w:r w:rsidRPr="00D54750">
              <w:rPr>
                <w:rFonts w:ascii="Arial" w:hAnsi="Arial" w:cs="Arial"/>
              </w:rPr>
              <w:t>Concerns raised by other departments or partner authorities</w:t>
            </w:r>
          </w:p>
          <w:p w:rsidR="00DB54A4" w:rsidRPr="00D54750" w:rsidRDefault="00DB54A4" w:rsidP="00DB54A4">
            <w:pPr>
              <w:pStyle w:val="ListParagraph"/>
              <w:numPr>
                <w:ilvl w:val="0"/>
                <w:numId w:val="1"/>
              </w:numPr>
              <w:spacing w:after="0" w:line="240" w:lineRule="auto"/>
              <w:rPr>
                <w:rFonts w:ascii="Arial" w:hAnsi="Arial" w:cs="Arial"/>
              </w:rPr>
            </w:pPr>
            <w:r w:rsidRPr="00D54750">
              <w:rPr>
                <w:rFonts w:ascii="Arial" w:hAnsi="Arial" w:cs="Arial"/>
              </w:rPr>
              <w:t>Difficulty arranging inspections or “no show” inspections or access prevented to some rooms – need to go back</w:t>
            </w:r>
          </w:p>
        </w:tc>
        <w:tc>
          <w:tcPr>
            <w:tcW w:w="2263" w:type="dxa"/>
            <w:gridSpan w:val="2"/>
          </w:tcPr>
          <w:p w:rsidR="00DB54A4" w:rsidRPr="00D54750" w:rsidRDefault="00DB54A4" w:rsidP="00DB54A4">
            <w:pPr>
              <w:pStyle w:val="ListParagraph"/>
              <w:numPr>
                <w:ilvl w:val="0"/>
                <w:numId w:val="3"/>
              </w:numPr>
              <w:spacing w:after="0" w:line="240" w:lineRule="auto"/>
              <w:rPr>
                <w:rFonts w:ascii="Arial" w:hAnsi="Arial" w:cs="Arial"/>
              </w:rPr>
            </w:pPr>
            <w:r w:rsidRPr="00D54750">
              <w:rPr>
                <w:rFonts w:ascii="Arial" w:hAnsi="Arial" w:cs="Arial"/>
              </w:rPr>
              <w:t>1 or 2 justified service request</w:t>
            </w:r>
          </w:p>
          <w:p w:rsidR="00DB54A4" w:rsidRPr="00D54750" w:rsidRDefault="00DB54A4" w:rsidP="00DB54A4">
            <w:pPr>
              <w:pStyle w:val="ListParagraph"/>
              <w:numPr>
                <w:ilvl w:val="0"/>
                <w:numId w:val="3"/>
              </w:numPr>
              <w:spacing w:after="0" w:line="240" w:lineRule="auto"/>
              <w:rPr>
                <w:rFonts w:ascii="Arial" w:hAnsi="Arial" w:cs="Arial"/>
              </w:rPr>
            </w:pPr>
            <w:r>
              <w:rPr>
                <w:rFonts w:ascii="Arial" w:hAnsi="Arial" w:cs="Arial"/>
              </w:rPr>
              <w:t>Application submitted as stated on first request (i.e. application form, declaration and fee submitted on time)</w:t>
            </w:r>
          </w:p>
          <w:p w:rsidR="00DB54A4" w:rsidRDefault="00DB54A4" w:rsidP="00DB54A4">
            <w:pPr>
              <w:pStyle w:val="ListParagraph"/>
              <w:numPr>
                <w:ilvl w:val="0"/>
                <w:numId w:val="3"/>
              </w:numPr>
              <w:spacing w:after="0" w:line="240" w:lineRule="auto"/>
              <w:rPr>
                <w:rFonts w:ascii="Arial" w:hAnsi="Arial" w:cs="Arial"/>
              </w:rPr>
            </w:pPr>
            <w:r w:rsidRPr="00D54750">
              <w:rPr>
                <w:rFonts w:ascii="Arial" w:hAnsi="Arial" w:cs="Arial"/>
              </w:rPr>
              <w:t>Certificates submitted with application / as per licence conditions</w:t>
            </w:r>
          </w:p>
          <w:p w:rsidR="00DB54A4" w:rsidRPr="00D54750" w:rsidRDefault="00DB54A4" w:rsidP="00DB54A4">
            <w:pPr>
              <w:pStyle w:val="ListParagraph"/>
              <w:numPr>
                <w:ilvl w:val="0"/>
                <w:numId w:val="3"/>
              </w:numPr>
              <w:spacing w:after="0" w:line="240" w:lineRule="auto"/>
              <w:rPr>
                <w:rFonts w:ascii="Arial" w:hAnsi="Arial" w:cs="Arial"/>
              </w:rPr>
            </w:pPr>
            <w:r>
              <w:rPr>
                <w:rFonts w:ascii="Arial" w:hAnsi="Arial" w:cs="Arial"/>
              </w:rPr>
              <w:t>Stage Two fee paid as requested</w:t>
            </w:r>
          </w:p>
          <w:p w:rsidR="00DB54A4" w:rsidRDefault="00DB54A4" w:rsidP="00DB54A4">
            <w:pPr>
              <w:pStyle w:val="ListParagraph"/>
              <w:numPr>
                <w:ilvl w:val="0"/>
                <w:numId w:val="3"/>
              </w:numPr>
              <w:spacing w:after="0" w:line="240" w:lineRule="auto"/>
              <w:rPr>
                <w:rFonts w:ascii="Arial" w:hAnsi="Arial" w:cs="Arial"/>
              </w:rPr>
            </w:pPr>
            <w:r w:rsidRPr="00D54750">
              <w:rPr>
                <w:rFonts w:ascii="Arial" w:hAnsi="Arial" w:cs="Arial"/>
              </w:rPr>
              <w:t>Fire Risk Assessment provided / declared</w:t>
            </w:r>
          </w:p>
          <w:p w:rsidR="009A656F" w:rsidRDefault="009A656F" w:rsidP="009A656F">
            <w:pPr>
              <w:pStyle w:val="ListParagraph"/>
              <w:numPr>
                <w:ilvl w:val="0"/>
                <w:numId w:val="3"/>
              </w:numPr>
              <w:spacing w:after="0" w:line="240" w:lineRule="auto"/>
              <w:rPr>
                <w:rFonts w:ascii="Arial" w:hAnsi="Arial" w:cs="Arial"/>
              </w:rPr>
            </w:pPr>
            <w:r>
              <w:rPr>
                <w:rFonts w:ascii="Arial" w:hAnsi="Arial" w:cs="Arial"/>
              </w:rPr>
              <w:t>Two year licence declaration submitted (this is expected to be part of the new online form system)</w:t>
            </w:r>
          </w:p>
          <w:p w:rsidR="009A656F" w:rsidRPr="00D54750" w:rsidRDefault="009A656F" w:rsidP="009A656F">
            <w:pPr>
              <w:pStyle w:val="ListParagraph"/>
              <w:spacing w:after="0" w:line="240" w:lineRule="auto"/>
              <w:ind w:left="360"/>
              <w:rPr>
                <w:rFonts w:ascii="Arial" w:hAnsi="Arial" w:cs="Arial"/>
              </w:rPr>
            </w:pPr>
          </w:p>
          <w:p w:rsidR="00DB54A4" w:rsidRPr="00282C45" w:rsidRDefault="00DB54A4" w:rsidP="009C1D4F">
            <w:pPr>
              <w:rPr>
                <w:rFonts w:ascii="Arial" w:hAnsi="Arial" w:cs="Arial"/>
              </w:rPr>
            </w:pPr>
          </w:p>
        </w:tc>
        <w:tc>
          <w:tcPr>
            <w:tcW w:w="2183" w:type="dxa"/>
          </w:tcPr>
          <w:p w:rsidR="00DB54A4" w:rsidRPr="00D54750" w:rsidRDefault="00DB54A4" w:rsidP="00DB54A4">
            <w:pPr>
              <w:pStyle w:val="ListParagraph"/>
              <w:numPr>
                <w:ilvl w:val="0"/>
                <w:numId w:val="3"/>
              </w:numPr>
              <w:spacing w:after="0" w:line="240" w:lineRule="auto"/>
              <w:rPr>
                <w:rFonts w:ascii="Arial" w:hAnsi="Arial" w:cs="Arial"/>
              </w:rPr>
            </w:pPr>
            <w:r w:rsidRPr="00D54750">
              <w:rPr>
                <w:rFonts w:ascii="Arial" w:hAnsi="Arial" w:cs="Arial"/>
              </w:rPr>
              <w:t>No justified service requests</w:t>
            </w:r>
          </w:p>
          <w:p w:rsidR="00CA13FC" w:rsidRDefault="00CA13FC" w:rsidP="00DB54A4">
            <w:pPr>
              <w:pStyle w:val="ListParagraph"/>
              <w:numPr>
                <w:ilvl w:val="0"/>
                <w:numId w:val="3"/>
              </w:numPr>
              <w:spacing w:after="0" w:line="240" w:lineRule="auto"/>
              <w:rPr>
                <w:rFonts w:ascii="Arial" w:hAnsi="Arial" w:cs="Arial"/>
              </w:rPr>
            </w:pPr>
            <w:r>
              <w:rPr>
                <w:rFonts w:ascii="Arial" w:hAnsi="Arial" w:cs="Arial"/>
              </w:rPr>
              <w:t>Licence holder or manager is accredited</w:t>
            </w:r>
            <w:r w:rsidR="003D28BB">
              <w:rPr>
                <w:rStyle w:val="FootnoteReference"/>
                <w:rFonts w:ascii="Arial" w:hAnsi="Arial" w:cs="Arial"/>
              </w:rPr>
              <w:footnoteReference w:id="4"/>
            </w:r>
          </w:p>
          <w:p w:rsidR="009A656F" w:rsidRPr="009A656F" w:rsidRDefault="009A656F" w:rsidP="009A656F">
            <w:pPr>
              <w:pStyle w:val="ListParagraph"/>
              <w:numPr>
                <w:ilvl w:val="0"/>
                <w:numId w:val="3"/>
              </w:numPr>
              <w:spacing w:after="0" w:line="240" w:lineRule="auto"/>
              <w:rPr>
                <w:rFonts w:ascii="Arial" w:hAnsi="Arial" w:cs="Arial"/>
              </w:rPr>
            </w:pPr>
            <w:r w:rsidRPr="00D54750">
              <w:rPr>
                <w:rFonts w:ascii="Arial" w:hAnsi="Arial" w:cs="Arial"/>
              </w:rPr>
              <w:t>Otherwise, as two year criteria</w:t>
            </w:r>
          </w:p>
          <w:p w:rsidR="00DB54A4" w:rsidRDefault="00DB54A4" w:rsidP="00DB54A4">
            <w:pPr>
              <w:pStyle w:val="ListParagraph"/>
              <w:numPr>
                <w:ilvl w:val="0"/>
                <w:numId w:val="3"/>
              </w:numPr>
              <w:spacing w:after="0" w:line="240" w:lineRule="auto"/>
              <w:rPr>
                <w:rFonts w:ascii="Arial" w:hAnsi="Arial" w:cs="Arial"/>
              </w:rPr>
            </w:pPr>
            <w:r>
              <w:rPr>
                <w:rFonts w:ascii="Arial" w:hAnsi="Arial" w:cs="Arial"/>
              </w:rPr>
              <w:t>Five year licence declaration submitted (this is expected to be part of the new online form system)</w:t>
            </w:r>
          </w:p>
          <w:p w:rsidR="009A656F" w:rsidRPr="00D54750" w:rsidRDefault="009A656F" w:rsidP="009A656F">
            <w:pPr>
              <w:pStyle w:val="ListParagraph"/>
              <w:spacing w:after="0" w:line="240" w:lineRule="auto"/>
              <w:ind w:left="360"/>
              <w:rPr>
                <w:rFonts w:ascii="Arial" w:hAnsi="Arial" w:cs="Arial"/>
              </w:rPr>
            </w:pPr>
          </w:p>
          <w:p w:rsidR="00DB54A4" w:rsidRPr="00D54750" w:rsidRDefault="00DB54A4" w:rsidP="009C1D4F">
            <w:pPr>
              <w:pStyle w:val="ListParagraph"/>
              <w:ind w:left="360"/>
              <w:rPr>
                <w:rFonts w:ascii="Arial" w:hAnsi="Arial" w:cs="Arial"/>
              </w:rPr>
            </w:pPr>
          </w:p>
        </w:tc>
      </w:tr>
      <w:tr w:rsidR="00DB54A4" w:rsidTr="006D1E05">
        <w:tc>
          <w:tcPr>
            <w:tcW w:w="9016" w:type="dxa"/>
            <w:gridSpan w:val="7"/>
            <w:shd w:val="clear" w:color="auto" w:fill="9CC2E5" w:themeFill="accent1" w:themeFillTint="99"/>
          </w:tcPr>
          <w:p w:rsidR="00DB54A4" w:rsidRPr="00D54750" w:rsidRDefault="00DB54A4" w:rsidP="009C1D4F">
            <w:pPr>
              <w:jc w:val="center"/>
              <w:rPr>
                <w:rFonts w:ascii="Arial" w:hAnsi="Arial" w:cs="Arial"/>
                <w:b/>
              </w:rPr>
            </w:pPr>
            <w:r w:rsidRPr="00D54750">
              <w:rPr>
                <w:rFonts w:ascii="Arial" w:hAnsi="Arial" w:cs="Arial"/>
                <w:b/>
              </w:rPr>
              <w:lastRenderedPageBreak/>
              <w:t>Non – exhaustive criteria applied when deciding on licence length, for both new and renewal licence applications.</w:t>
            </w:r>
          </w:p>
          <w:p w:rsidR="00DB54A4" w:rsidRPr="00D54750" w:rsidRDefault="00DB54A4" w:rsidP="00DB54A4">
            <w:pPr>
              <w:jc w:val="center"/>
              <w:rPr>
                <w:rFonts w:ascii="Arial" w:hAnsi="Arial" w:cs="Arial"/>
                <w:b/>
              </w:rPr>
            </w:pPr>
            <w:r w:rsidRPr="00D54750">
              <w:rPr>
                <w:rFonts w:ascii="Arial" w:hAnsi="Arial" w:cs="Arial"/>
              </w:rPr>
              <w:t>For agencies, a judgement is made based on general portfolio management and the specific property</w:t>
            </w:r>
          </w:p>
        </w:tc>
      </w:tr>
      <w:tr w:rsidR="00DB54A4" w:rsidTr="006D1E05">
        <w:tc>
          <w:tcPr>
            <w:tcW w:w="1864" w:type="dxa"/>
            <w:shd w:val="clear" w:color="auto" w:fill="9CC2E5" w:themeFill="accent1" w:themeFillTint="99"/>
          </w:tcPr>
          <w:p w:rsidR="00DB54A4" w:rsidRPr="00D54750" w:rsidRDefault="00DB54A4" w:rsidP="009C1D4F">
            <w:pPr>
              <w:jc w:val="center"/>
              <w:rPr>
                <w:rFonts w:ascii="Arial" w:hAnsi="Arial" w:cs="Arial"/>
                <w:b/>
              </w:rPr>
            </w:pPr>
            <w:r w:rsidRPr="00D54750">
              <w:rPr>
                <w:rFonts w:ascii="Arial" w:hAnsi="Arial" w:cs="Arial"/>
                <w:b/>
              </w:rPr>
              <w:t>Factor</w:t>
            </w:r>
          </w:p>
        </w:tc>
        <w:tc>
          <w:tcPr>
            <w:tcW w:w="2410" w:type="dxa"/>
            <w:gridSpan w:val="2"/>
            <w:shd w:val="clear" w:color="auto" w:fill="9CC2E5" w:themeFill="accent1" w:themeFillTint="99"/>
          </w:tcPr>
          <w:p w:rsidR="00DB54A4" w:rsidRPr="00D54750" w:rsidRDefault="00DB54A4" w:rsidP="00DB54A4">
            <w:pPr>
              <w:jc w:val="center"/>
              <w:rPr>
                <w:rFonts w:ascii="Arial" w:hAnsi="Arial" w:cs="Arial"/>
                <w:b/>
              </w:rPr>
            </w:pPr>
            <w:r w:rsidRPr="00D54750">
              <w:rPr>
                <w:rFonts w:ascii="Arial" w:hAnsi="Arial" w:cs="Arial"/>
                <w:b/>
              </w:rPr>
              <w:t>1 year</w:t>
            </w:r>
          </w:p>
        </w:tc>
        <w:tc>
          <w:tcPr>
            <w:tcW w:w="2372" w:type="dxa"/>
            <w:gridSpan w:val="2"/>
            <w:shd w:val="clear" w:color="auto" w:fill="9CC2E5" w:themeFill="accent1" w:themeFillTint="99"/>
          </w:tcPr>
          <w:p w:rsidR="00DB54A4" w:rsidRPr="00D54750" w:rsidRDefault="00DB54A4" w:rsidP="00DB54A4">
            <w:pPr>
              <w:jc w:val="center"/>
              <w:rPr>
                <w:rFonts w:ascii="Arial" w:hAnsi="Arial" w:cs="Arial"/>
                <w:b/>
              </w:rPr>
            </w:pPr>
            <w:r w:rsidRPr="00D54750">
              <w:rPr>
                <w:rFonts w:ascii="Arial" w:hAnsi="Arial" w:cs="Arial"/>
                <w:b/>
              </w:rPr>
              <w:t>2 year</w:t>
            </w:r>
          </w:p>
        </w:tc>
        <w:tc>
          <w:tcPr>
            <w:tcW w:w="2370" w:type="dxa"/>
            <w:gridSpan w:val="2"/>
            <w:shd w:val="clear" w:color="auto" w:fill="9CC2E5" w:themeFill="accent1" w:themeFillTint="99"/>
          </w:tcPr>
          <w:p w:rsidR="00DB54A4" w:rsidRPr="00D54750" w:rsidRDefault="00DB54A4" w:rsidP="00DB54A4">
            <w:pPr>
              <w:jc w:val="center"/>
              <w:rPr>
                <w:rFonts w:ascii="Arial" w:hAnsi="Arial" w:cs="Arial"/>
                <w:b/>
              </w:rPr>
            </w:pPr>
            <w:r w:rsidRPr="00D54750">
              <w:rPr>
                <w:rFonts w:ascii="Arial" w:hAnsi="Arial" w:cs="Arial"/>
                <w:b/>
              </w:rPr>
              <w:t>5 year</w:t>
            </w:r>
          </w:p>
        </w:tc>
      </w:tr>
      <w:tr w:rsidR="00DB54A4" w:rsidRPr="0049603C" w:rsidTr="006D1E05">
        <w:tc>
          <w:tcPr>
            <w:tcW w:w="1864" w:type="dxa"/>
          </w:tcPr>
          <w:p w:rsidR="00DB54A4" w:rsidRPr="0049603C" w:rsidRDefault="00DB54A4" w:rsidP="009C1D4F">
            <w:pPr>
              <w:rPr>
                <w:rFonts w:ascii="Arial" w:hAnsi="Arial" w:cs="Arial"/>
                <w:b/>
              </w:rPr>
            </w:pPr>
            <w:r w:rsidRPr="0049603C">
              <w:rPr>
                <w:rFonts w:ascii="Arial" w:hAnsi="Arial" w:cs="Arial"/>
                <w:b/>
              </w:rPr>
              <w:t>Planning Permission / Building Control – this relates both to fit and proper person concerns to comply with housing law and suitability for occupation</w:t>
            </w:r>
          </w:p>
        </w:tc>
        <w:tc>
          <w:tcPr>
            <w:tcW w:w="2410" w:type="dxa"/>
            <w:gridSpan w:val="2"/>
          </w:tcPr>
          <w:p w:rsidR="00DB54A4" w:rsidRPr="0049603C" w:rsidRDefault="00DB54A4" w:rsidP="009C1D4F">
            <w:pPr>
              <w:pStyle w:val="ListParagraph"/>
              <w:numPr>
                <w:ilvl w:val="0"/>
                <w:numId w:val="4"/>
              </w:numPr>
              <w:spacing w:after="160" w:line="259" w:lineRule="auto"/>
              <w:rPr>
                <w:rFonts w:ascii="Arial" w:hAnsi="Arial" w:cs="Arial"/>
              </w:rPr>
            </w:pPr>
            <w:r w:rsidRPr="0049603C">
              <w:rPr>
                <w:rFonts w:ascii="Arial" w:hAnsi="Arial" w:cs="Arial"/>
              </w:rPr>
              <w:t>Evidence the property does not have planning permission for current use or open planning enforcement investigation</w:t>
            </w:r>
            <w:r w:rsidRPr="0049603C">
              <w:rPr>
                <w:rStyle w:val="FootnoteReference"/>
                <w:rFonts w:ascii="Arial" w:hAnsi="Arial" w:cs="Arial"/>
              </w:rPr>
              <w:footnoteReference w:id="5"/>
            </w:r>
            <w:r w:rsidRPr="0049603C">
              <w:rPr>
                <w:rFonts w:ascii="Arial" w:hAnsi="Arial" w:cs="Arial"/>
              </w:rPr>
              <w:t>;</w:t>
            </w:r>
          </w:p>
          <w:p w:rsidR="00DB54A4" w:rsidRPr="0049603C" w:rsidRDefault="00DB54A4" w:rsidP="00DB54A4">
            <w:pPr>
              <w:pStyle w:val="ListParagraph"/>
              <w:numPr>
                <w:ilvl w:val="0"/>
                <w:numId w:val="4"/>
              </w:numPr>
              <w:spacing w:after="0" w:line="240" w:lineRule="auto"/>
              <w:rPr>
                <w:rFonts w:ascii="Arial" w:hAnsi="Arial" w:cs="Arial"/>
              </w:rPr>
            </w:pPr>
            <w:r w:rsidRPr="0049603C">
              <w:rPr>
                <w:rFonts w:ascii="Arial" w:hAnsi="Arial" w:cs="Arial"/>
              </w:rPr>
              <w:t>Outstanding work requiring  building control approval</w:t>
            </w:r>
          </w:p>
        </w:tc>
        <w:tc>
          <w:tcPr>
            <w:tcW w:w="2372" w:type="dxa"/>
            <w:gridSpan w:val="2"/>
          </w:tcPr>
          <w:p w:rsidR="00DB54A4" w:rsidRPr="0049603C" w:rsidRDefault="00DB54A4" w:rsidP="00DB54A4">
            <w:pPr>
              <w:pStyle w:val="ListParagraph"/>
              <w:numPr>
                <w:ilvl w:val="0"/>
                <w:numId w:val="4"/>
              </w:numPr>
              <w:spacing w:after="0" w:line="240" w:lineRule="auto"/>
              <w:rPr>
                <w:rFonts w:ascii="Arial" w:hAnsi="Arial" w:cs="Arial"/>
              </w:rPr>
            </w:pPr>
            <w:r w:rsidRPr="0049603C">
              <w:rPr>
                <w:rFonts w:ascii="Arial" w:hAnsi="Arial" w:cs="Arial"/>
              </w:rPr>
              <w:t>Planning permission granted, certificate of lawful use granted or clear historic use</w:t>
            </w:r>
          </w:p>
          <w:p w:rsidR="00DB54A4" w:rsidRPr="0049603C" w:rsidRDefault="00DB54A4" w:rsidP="00DB54A4">
            <w:pPr>
              <w:pStyle w:val="ListParagraph"/>
              <w:numPr>
                <w:ilvl w:val="0"/>
                <w:numId w:val="4"/>
              </w:numPr>
              <w:spacing w:after="0" w:line="240" w:lineRule="auto"/>
              <w:rPr>
                <w:rFonts w:ascii="Arial" w:hAnsi="Arial" w:cs="Arial"/>
              </w:rPr>
            </w:pPr>
            <w:r w:rsidRPr="0049603C">
              <w:rPr>
                <w:rFonts w:ascii="Arial" w:hAnsi="Arial" w:cs="Arial"/>
              </w:rPr>
              <w:t>All building work requiring building control approval  properly certified</w:t>
            </w:r>
          </w:p>
        </w:tc>
        <w:tc>
          <w:tcPr>
            <w:tcW w:w="2370" w:type="dxa"/>
            <w:gridSpan w:val="2"/>
          </w:tcPr>
          <w:p w:rsidR="00DB54A4" w:rsidRPr="0049603C" w:rsidRDefault="00DB54A4" w:rsidP="00DB54A4">
            <w:pPr>
              <w:pStyle w:val="ListParagraph"/>
              <w:numPr>
                <w:ilvl w:val="0"/>
                <w:numId w:val="4"/>
              </w:numPr>
              <w:spacing w:after="0" w:line="240" w:lineRule="auto"/>
              <w:rPr>
                <w:rFonts w:ascii="Arial" w:hAnsi="Arial" w:cs="Arial"/>
              </w:rPr>
            </w:pPr>
            <w:r w:rsidRPr="0049603C">
              <w:rPr>
                <w:rFonts w:ascii="Arial" w:hAnsi="Arial" w:cs="Arial"/>
              </w:rPr>
              <w:t>As two year criteria</w:t>
            </w:r>
          </w:p>
        </w:tc>
      </w:tr>
      <w:tr w:rsidR="00DB54A4" w:rsidRPr="00582430" w:rsidTr="006D1E05">
        <w:tc>
          <w:tcPr>
            <w:tcW w:w="1864" w:type="dxa"/>
          </w:tcPr>
          <w:p w:rsidR="00DB54A4" w:rsidRPr="00582430" w:rsidRDefault="00DB54A4" w:rsidP="009C1D4F">
            <w:pPr>
              <w:rPr>
                <w:rFonts w:ascii="Arial" w:hAnsi="Arial" w:cs="Arial"/>
                <w:b/>
                <w:sz w:val="24"/>
                <w:szCs w:val="24"/>
              </w:rPr>
            </w:pPr>
            <w:r w:rsidRPr="00582430">
              <w:rPr>
                <w:rFonts w:ascii="Arial" w:hAnsi="Arial" w:cs="Arial"/>
                <w:b/>
                <w:sz w:val="24"/>
                <w:szCs w:val="24"/>
              </w:rPr>
              <w:t>Benefits to landlords</w:t>
            </w:r>
            <w:r>
              <w:rPr>
                <w:rFonts w:ascii="Arial" w:hAnsi="Arial" w:cs="Arial"/>
                <w:b/>
                <w:sz w:val="24"/>
                <w:szCs w:val="24"/>
              </w:rPr>
              <w:t>, tenants and community</w:t>
            </w:r>
          </w:p>
        </w:tc>
        <w:tc>
          <w:tcPr>
            <w:tcW w:w="2410" w:type="dxa"/>
            <w:gridSpan w:val="2"/>
          </w:tcPr>
          <w:p w:rsidR="00DB54A4" w:rsidRDefault="00DB54A4" w:rsidP="00DB54A4">
            <w:pPr>
              <w:pStyle w:val="ListParagraph"/>
              <w:numPr>
                <w:ilvl w:val="0"/>
                <w:numId w:val="4"/>
              </w:numPr>
              <w:spacing w:after="0" w:line="240" w:lineRule="auto"/>
              <w:rPr>
                <w:rFonts w:ascii="Arial" w:hAnsi="Arial" w:cs="Arial"/>
                <w:sz w:val="24"/>
                <w:szCs w:val="24"/>
              </w:rPr>
            </w:pPr>
            <w:r>
              <w:rPr>
                <w:rFonts w:ascii="Arial" w:hAnsi="Arial" w:cs="Arial"/>
                <w:sz w:val="24"/>
                <w:szCs w:val="24"/>
              </w:rPr>
              <w:t>Yearly inspections from c</w:t>
            </w:r>
            <w:r w:rsidRPr="00582430">
              <w:rPr>
                <w:rFonts w:ascii="Arial" w:hAnsi="Arial" w:cs="Arial"/>
                <w:sz w:val="24"/>
                <w:szCs w:val="24"/>
              </w:rPr>
              <w:t xml:space="preserve">ouncil to ensure property is </w:t>
            </w:r>
            <w:r w:rsidRPr="00463ECC">
              <w:rPr>
                <w:rFonts w:ascii="Arial" w:hAnsi="Arial" w:cs="Arial"/>
                <w:sz w:val="24"/>
                <w:szCs w:val="24"/>
              </w:rPr>
              <w:t>maintained</w:t>
            </w:r>
            <w:r w:rsidRPr="00463ECC">
              <w:rPr>
                <w:rFonts w:ascii="Arial" w:hAnsi="Arial" w:cs="Arial"/>
                <w:color w:val="FF0000"/>
                <w:sz w:val="24"/>
                <w:szCs w:val="24"/>
              </w:rPr>
              <w:t xml:space="preserve"> </w:t>
            </w:r>
            <w:r w:rsidRPr="00CA4DF5">
              <w:rPr>
                <w:rFonts w:ascii="Arial" w:hAnsi="Arial" w:cs="Arial"/>
                <w:sz w:val="24"/>
                <w:szCs w:val="24"/>
              </w:rPr>
              <w:t>(increased inspection fee)</w:t>
            </w:r>
          </w:p>
          <w:p w:rsidR="00DB54A4" w:rsidRPr="00582430" w:rsidRDefault="00DB54A4" w:rsidP="00DB54A4">
            <w:pPr>
              <w:pStyle w:val="ListParagraph"/>
              <w:numPr>
                <w:ilvl w:val="0"/>
                <w:numId w:val="4"/>
              </w:numPr>
              <w:spacing w:after="0" w:line="240" w:lineRule="auto"/>
              <w:rPr>
                <w:rFonts w:ascii="Arial" w:hAnsi="Arial" w:cs="Arial"/>
                <w:sz w:val="24"/>
                <w:szCs w:val="24"/>
              </w:rPr>
            </w:pPr>
            <w:r>
              <w:rPr>
                <w:rFonts w:ascii="Arial" w:hAnsi="Arial" w:cs="Arial"/>
                <w:sz w:val="24"/>
                <w:szCs w:val="24"/>
              </w:rPr>
              <w:t>Demonstrates poorly managed properties are the focus of attention</w:t>
            </w:r>
          </w:p>
        </w:tc>
        <w:tc>
          <w:tcPr>
            <w:tcW w:w="2372" w:type="dxa"/>
            <w:gridSpan w:val="2"/>
          </w:tcPr>
          <w:p w:rsidR="00DB54A4" w:rsidRPr="00582430" w:rsidRDefault="00DB54A4" w:rsidP="00DB54A4">
            <w:pPr>
              <w:pStyle w:val="ListParagraph"/>
              <w:numPr>
                <w:ilvl w:val="0"/>
                <w:numId w:val="4"/>
              </w:numPr>
              <w:spacing w:after="0" w:line="240" w:lineRule="auto"/>
              <w:rPr>
                <w:rFonts w:ascii="Arial" w:hAnsi="Arial" w:cs="Arial"/>
                <w:sz w:val="24"/>
                <w:szCs w:val="24"/>
              </w:rPr>
            </w:pPr>
            <w:r w:rsidRPr="00582430">
              <w:rPr>
                <w:rFonts w:ascii="Arial" w:hAnsi="Arial" w:cs="Arial"/>
                <w:sz w:val="24"/>
                <w:szCs w:val="24"/>
              </w:rPr>
              <w:t>Reduced fee</w:t>
            </w:r>
          </w:p>
          <w:p w:rsidR="00DB54A4" w:rsidRDefault="00DB54A4" w:rsidP="00DB54A4">
            <w:pPr>
              <w:pStyle w:val="ListParagraph"/>
              <w:numPr>
                <w:ilvl w:val="0"/>
                <w:numId w:val="4"/>
              </w:numPr>
              <w:spacing w:after="0" w:line="240" w:lineRule="auto"/>
              <w:rPr>
                <w:rFonts w:ascii="Arial" w:hAnsi="Arial" w:cs="Arial"/>
                <w:sz w:val="24"/>
                <w:szCs w:val="24"/>
              </w:rPr>
            </w:pPr>
            <w:r w:rsidRPr="00582430">
              <w:rPr>
                <w:rFonts w:ascii="Arial" w:hAnsi="Arial" w:cs="Arial"/>
                <w:sz w:val="24"/>
                <w:szCs w:val="24"/>
              </w:rPr>
              <w:t>Reduced inspection regime</w:t>
            </w:r>
          </w:p>
          <w:p w:rsidR="00DB54A4" w:rsidRDefault="00DB54A4" w:rsidP="00DB54A4">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Demonstrates property is well-managed and there is confidence in the landlord / licence holder </w:t>
            </w:r>
          </w:p>
          <w:p w:rsidR="00DB54A4" w:rsidRDefault="00DB54A4" w:rsidP="00DB54A4">
            <w:pPr>
              <w:pStyle w:val="ListParagraph"/>
              <w:numPr>
                <w:ilvl w:val="0"/>
                <w:numId w:val="4"/>
              </w:numPr>
              <w:spacing w:after="0" w:line="240" w:lineRule="auto"/>
              <w:rPr>
                <w:rFonts w:ascii="Arial" w:hAnsi="Arial" w:cs="Arial"/>
                <w:sz w:val="24"/>
                <w:szCs w:val="24"/>
              </w:rPr>
            </w:pPr>
            <w:r>
              <w:rPr>
                <w:rFonts w:ascii="Arial" w:hAnsi="Arial" w:cs="Arial"/>
                <w:sz w:val="24"/>
                <w:szCs w:val="24"/>
              </w:rPr>
              <w:t>Property inspected once every five years</w:t>
            </w:r>
          </w:p>
          <w:p w:rsidR="00DB54A4" w:rsidRPr="0012495A" w:rsidRDefault="00DB54A4" w:rsidP="00DB54A4">
            <w:pPr>
              <w:pStyle w:val="ListParagraph"/>
              <w:numPr>
                <w:ilvl w:val="0"/>
                <w:numId w:val="4"/>
              </w:numPr>
              <w:spacing w:after="0" w:line="240" w:lineRule="auto"/>
              <w:rPr>
                <w:rFonts w:ascii="Arial" w:hAnsi="Arial" w:cs="Arial"/>
                <w:sz w:val="24"/>
                <w:szCs w:val="24"/>
              </w:rPr>
            </w:pPr>
            <w:r>
              <w:rPr>
                <w:rFonts w:ascii="Arial" w:hAnsi="Arial" w:cs="Arial"/>
                <w:sz w:val="24"/>
                <w:szCs w:val="24"/>
              </w:rPr>
              <w:t>Local authority support still needed to ensure property is maintained / managed</w:t>
            </w:r>
          </w:p>
        </w:tc>
        <w:tc>
          <w:tcPr>
            <w:tcW w:w="2370" w:type="dxa"/>
            <w:gridSpan w:val="2"/>
          </w:tcPr>
          <w:p w:rsidR="00DB54A4" w:rsidRPr="00582430" w:rsidRDefault="00DB54A4" w:rsidP="00DB54A4">
            <w:pPr>
              <w:pStyle w:val="ListParagraph"/>
              <w:numPr>
                <w:ilvl w:val="0"/>
                <w:numId w:val="4"/>
              </w:numPr>
              <w:spacing w:after="0" w:line="240" w:lineRule="auto"/>
              <w:rPr>
                <w:rFonts w:ascii="Arial" w:hAnsi="Arial" w:cs="Arial"/>
                <w:sz w:val="24"/>
                <w:szCs w:val="24"/>
              </w:rPr>
            </w:pPr>
            <w:r w:rsidRPr="00582430">
              <w:rPr>
                <w:rFonts w:ascii="Arial" w:hAnsi="Arial" w:cs="Arial"/>
                <w:sz w:val="24"/>
                <w:szCs w:val="24"/>
              </w:rPr>
              <w:t>Reduced fee</w:t>
            </w:r>
          </w:p>
          <w:p w:rsidR="00DB54A4" w:rsidRPr="00582430" w:rsidRDefault="00DB54A4" w:rsidP="00DB54A4">
            <w:pPr>
              <w:pStyle w:val="ListParagraph"/>
              <w:numPr>
                <w:ilvl w:val="0"/>
                <w:numId w:val="4"/>
              </w:numPr>
              <w:spacing w:after="0" w:line="240" w:lineRule="auto"/>
              <w:rPr>
                <w:rFonts w:ascii="Arial" w:hAnsi="Arial" w:cs="Arial"/>
                <w:sz w:val="24"/>
                <w:szCs w:val="24"/>
              </w:rPr>
            </w:pPr>
            <w:r w:rsidRPr="00582430">
              <w:rPr>
                <w:rFonts w:ascii="Arial" w:hAnsi="Arial" w:cs="Arial"/>
                <w:sz w:val="24"/>
                <w:szCs w:val="24"/>
              </w:rPr>
              <w:t>Reduced inspection regime</w:t>
            </w:r>
          </w:p>
          <w:p w:rsidR="00DB54A4" w:rsidRDefault="00DB54A4" w:rsidP="00DB54A4">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Demonstrates property is well-managed and there is confidence in the landlord / licence holder </w:t>
            </w:r>
          </w:p>
          <w:p w:rsidR="00DB54A4" w:rsidRPr="00582430" w:rsidRDefault="00DB54A4" w:rsidP="00DB54A4">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Accredited landlords / agents under audit regime (See below) </w:t>
            </w:r>
            <w:r w:rsidRPr="00582430">
              <w:rPr>
                <w:rFonts w:ascii="Arial" w:hAnsi="Arial" w:cs="Arial"/>
                <w:sz w:val="24"/>
                <w:szCs w:val="24"/>
              </w:rPr>
              <w:t xml:space="preserve"> </w:t>
            </w:r>
            <w:r>
              <w:rPr>
                <w:rFonts w:ascii="Arial" w:hAnsi="Arial" w:cs="Arial"/>
                <w:sz w:val="24"/>
                <w:szCs w:val="24"/>
              </w:rPr>
              <w:t>- self-regulation approach and minimal support given</w:t>
            </w:r>
          </w:p>
        </w:tc>
      </w:tr>
    </w:tbl>
    <w:p w:rsidR="00DB54A4" w:rsidRDefault="00DB54A4" w:rsidP="00DB54A4">
      <w:pPr>
        <w:rPr>
          <w:rFonts w:ascii="Arial" w:hAnsi="Arial" w:cs="Arial"/>
          <w:sz w:val="24"/>
          <w:szCs w:val="24"/>
        </w:rPr>
      </w:pPr>
    </w:p>
    <w:p w:rsidR="00DB54A4" w:rsidRDefault="00DB54A4" w:rsidP="00DB54A4">
      <w:pPr>
        <w:rPr>
          <w:rFonts w:ascii="Arial" w:hAnsi="Arial" w:cs="Arial"/>
          <w:sz w:val="24"/>
          <w:szCs w:val="24"/>
        </w:rPr>
      </w:pPr>
    </w:p>
    <w:p w:rsidR="00DB54A4" w:rsidRDefault="00DB54A4" w:rsidP="00DB54A4">
      <w:pPr>
        <w:rPr>
          <w:rFonts w:ascii="Arial" w:hAnsi="Arial" w:cs="Arial"/>
          <w:sz w:val="24"/>
          <w:szCs w:val="24"/>
        </w:rPr>
      </w:pPr>
    </w:p>
    <w:p w:rsidR="00DB54A4" w:rsidRPr="0049603C" w:rsidRDefault="00DB54A4" w:rsidP="00DB54A4">
      <w:pPr>
        <w:rPr>
          <w:rFonts w:ascii="Arial" w:hAnsi="Arial" w:cs="Arial"/>
          <w:b/>
          <w:sz w:val="24"/>
          <w:szCs w:val="24"/>
        </w:rPr>
      </w:pPr>
      <w:r w:rsidRPr="0049603C">
        <w:rPr>
          <w:rFonts w:ascii="Arial" w:hAnsi="Arial" w:cs="Arial"/>
          <w:b/>
          <w:sz w:val="24"/>
          <w:szCs w:val="24"/>
        </w:rPr>
        <w:lastRenderedPageBreak/>
        <w:t>5 year audit scheme</w:t>
      </w:r>
    </w:p>
    <w:p w:rsidR="00DB54A4" w:rsidRDefault="00DB54A4" w:rsidP="00DB54A4">
      <w:pPr>
        <w:pStyle w:val="ListParagraph"/>
        <w:numPr>
          <w:ilvl w:val="0"/>
          <w:numId w:val="2"/>
        </w:numPr>
        <w:rPr>
          <w:rFonts w:ascii="Arial" w:hAnsi="Arial" w:cs="Arial"/>
          <w:sz w:val="24"/>
          <w:szCs w:val="24"/>
        </w:rPr>
      </w:pPr>
      <w:r>
        <w:rPr>
          <w:rFonts w:ascii="Arial" w:hAnsi="Arial" w:cs="Arial"/>
          <w:sz w:val="24"/>
          <w:szCs w:val="24"/>
        </w:rPr>
        <w:t>For landlords, properties checked once every five years – where a landlord owns multiple properties, then a mix of inspection and self-audit declarations will apply</w:t>
      </w:r>
    </w:p>
    <w:p w:rsidR="00DB54A4" w:rsidRDefault="00DB54A4" w:rsidP="00DB54A4">
      <w:pPr>
        <w:pStyle w:val="ListParagraph"/>
        <w:rPr>
          <w:rFonts w:ascii="Arial" w:hAnsi="Arial" w:cs="Arial"/>
          <w:sz w:val="24"/>
          <w:szCs w:val="24"/>
        </w:rPr>
      </w:pPr>
    </w:p>
    <w:tbl>
      <w:tblPr>
        <w:tblStyle w:val="TableGrid"/>
        <w:tblW w:w="0" w:type="auto"/>
        <w:tblInd w:w="704" w:type="dxa"/>
        <w:tblLook w:val="04A0" w:firstRow="1" w:lastRow="0" w:firstColumn="1" w:lastColumn="0" w:noHBand="0" w:noVBand="1"/>
      </w:tblPr>
      <w:tblGrid>
        <w:gridCol w:w="3778"/>
        <w:gridCol w:w="3798"/>
      </w:tblGrid>
      <w:tr w:rsidR="00DB54A4" w:rsidRPr="0049603C" w:rsidTr="00DB54A4">
        <w:tc>
          <w:tcPr>
            <w:tcW w:w="3778" w:type="dxa"/>
            <w:shd w:val="clear" w:color="auto" w:fill="9CC2E5" w:themeFill="accent1" w:themeFillTint="99"/>
          </w:tcPr>
          <w:p w:rsidR="00DB54A4" w:rsidRPr="0049603C" w:rsidRDefault="00DB54A4" w:rsidP="009C1D4F">
            <w:pPr>
              <w:pStyle w:val="ListParagraph"/>
              <w:ind w:left="-702" w:firstLine="709"/>
              <w:rPr>
                <w:rFonts w:ascii="Arial" w:hAnsi="Arial" w:cs="Arial"/>
                <w:b/>
                <w:sz w:val="24"/>
                <w:szCs w:val="24"/>
              </w:rPr>
            </w:pPr>
            <w:r w:rsidRPr="0049603C">
              <w:rPr>
                <w:rFonts w:ascii="Arial" w:hAnsi="Arial" w:cs="Arial"/>
                <w:b/>
                <w:sz w:val="24"/>
                <w:szCs w:val="24"/>
              </w:rPr>
              <w:t>Number of properties owned</w:t>
            </w:r>
          </w:p>
        </w:tc>
        <w:tc>
          <w:tcPr>
            <w:tcW w:w="3798" w:type="dxa"/>
            <w:shd w:val="clear" w:color="auto" w:fill="9CC2E5" w:themeFill="accent1" w:themeFillTint="99"/>
          </w:tcPr>
          <w:p w:rsidR="00DB54A4" w:rsidRPr="0049603C" w:rsidRDefault="00DB54A4" w:rsidP="009C1D4F">
            <w:pPr>
              <w:pStyle w:val="ListParagraph"/>
              <w:ind w:left="0"/>
              <w:rPr>
                <w:rFonts w:ascii="Arial" w:hAnsi="Arial" w:cs="Arial"/>
                <w:b/>
                <w:sz w:val="24"/>
                <w:szCs w:val="24"/>
              </w:rPr>
            </w:pPr>
            <w:r w:rsidRPr="0049603C">
              <w:rPr>
                <w:rFonts w:ascii="Arial" w:hAnsi="Arial" w:cs="Arial"/>
                <w:b/>
                <w:sz w:val="24"/>
                <w:szCs w:val="24"/>
              </w:rPr>
              <w:t>Number inspected (over five years)</w:t>
            </w:r>
          </w:p>
        </w:tc>
      </w:tr>
      <w:tr w:rsidR="00DB54A4" w:rsidTr="00DB54A4">
        <w:tc>
          <w:tcPr>
            <w:tcW w:w="3778" w:type="dxa"/>
          </w:tcPr>
          <w:p w:rsidR="00DB54A4" w:rsidRDefault="00DB54A4" w:rsidP="009C1D4F">
            <w:pPr>
              <w:pStyle w:val="ListParagraph"/>
              <w:ind w:left="0"/>
              <w:rPr>
                <w:rFonts w:ascii="Arial" w:hAnsi="Arial" w:cs="Arial"/>
                <w:sz w:val="24"/>
                <w:szCs w:val="24"/>
              </w:rPr>
            </w:pPr>
            <w:r>
              <w:rPr>
                <w:rFonts w:ascii="Arial" w:hAnsi="Arial" w:cs="Arial"/>
                <w:sz w:val="24"/>
                <w:szCs w:val="24"/>
              </w:rPr>
              <w:t>One</w:t>
            </w:r>
          </w:p>
        </w:tc>
        <w:tc>
          <w:tcPr>
            <w:tcW w:w="3798" w:type="dxa"/>
          </w:tcPr>
          <w:p w:rsidR="00DB54A4" w:rsidRDefault="00DB54A4" w:rsidP="009C1D4F">
            <w:pPr>
              <w:pStyle w:val="ListParagraph"/>
              <w:ind w:left="0"/>
              <w:rPr>
                <w:rFonts w:ascii="Arial" w:hAnsi="Arial" w:cs="Arial"/>
                <w:sz w:val="24"/>
                <w:szCs w:val="24"/>
              </w:rPr>
            </w:pPr>
            <w:r>
              <w:rPr>
                <w:rFonts w:ascii="Arial" w:hAnsi="Arial" w:cs="Arial"/>
                <w:sz w:val="24"/>
                <w:szCs w:val="24"/>
              </w:rPr>
              <w:t>One – if selected as part of random sample otherwise a self-audit is required</w:t>
            </w:r>
          </w:p>
        </w:tc>
      </w:tr>
      <w:tr w:rsidR="00DB54A4" w:rsidTr="00DB54A4">
        <w:tc>
          <w:tcPr>
            <w:tcW w:w="3778" w:type="dxa"/>
          </w:tcPr>
          <w:p w:rsidR="00DB54A4" w:rsidRDefault="00DB54A4" w:rsidP="009C1D4F">
            <w:pPr>
              <w:pStyle w:val="ListParagraph"/>
              <w:ind w:left="0"/>
              <w:rPr>
                <w:rFonts w:ascii="Arial" w:hAnsi="Arial" w:cs="Arial"/>
                <w:sz w:val="24"/>
                <w:szCs w:val="24"/>
              </w:rPr>
            </w:pPr>
            <w:r>
              <w:rPr>
                <w:rFonts w:ascii="Arial" w:hAnsi="Arial" w:cs="Arial"/>
                <w:sz w:val="24"/>
                <w:szCs w:val="24"/>
              </w:rPr>
              <w:t>Two to Six</w:t>
            </w:r>
          </w:p>
        </w:tc>
        <w:tc>
          <w:tcPr>
            <w:tcW w:w="3798" w:type="dxa"/>
          </w:tcPr>
          <w:p w:rsidR="00DB54A4" w:rsidRDefault="00DB54A4" w:rsidP="009C1D4F">
            <w:pPr>
              <w:pStyle w:val="ListParagraph"/>
              <w:ind w:left="0"/>
              <w:rPr>
                <w:rFonts w:ascii="Arial" w:hAnsi="Arial" w:cs="Arial"/>
                <w:sz w:val="24"/>
                <w:szCs w:val="24"/>
              </w:rPr>
            </w:pPr>
            <w:r>
              <w:rPr>
                <w:rFonts w:ascii="Arial" w:hAnsi="Arial" w:cs="Arial"/>
                <w:sz w:val="24"/>
                <w:szCs w:val="24"/>
              </w:rPr>
              <w:t>Two</w:t>
            </w:r>
          </w:p>
        </w:tc>
      </w:tr>
      <w:tr w:rsidR="00DB54A4" w:rsidTr="00DB54A4">
        <w:tc>
          <w:tcPr>
            <w:tcW w:w="3778" w:type="dxa"/>
          </w:tcPr>
          <w:p w:rsidR="00DB54A4" w:rsidRDefault="00DB54A4" w:rsidP="009C1D4F">
            <w:pPr>
              <w:pStyle w:val="ListParagraph"/>
              <w:ind w:left="0"/>
              <w:rPr>
                <w:rFonts w:ascii="Arial" w:hAnsi="Arial" w:cs="Arial"/>
                <w:sz w:val="24"/>
                <w:szCs w:val="24"/>
              </w:rPr>
            </w:pPr>
            <w:r>
              <w:rPr>
                <w:rFonts w:ascii="Arial" w:hAnsi="Arial" w:cs="Arial"/>
                <w:sz w:val="24"/>
                <w:szCs w:val="24"/>
              </w:rPr>
              <w:t>Seven to Ten</w:t>
            </w:r>
          </w:p>
        </w:tc>
        <w:tc>
          <w:tcPr>
            <w:tcW w:w="3798" w:type="dxa"/>
          </w:tcPr>
          <w:p w:rsidR="00DB54A4" w:rsidRDefault="00DB54A4" w:rsidP="009C1D4F">
            <w:pPr>
              <w:pStyle w:val="ListParagraph"/>
              <w:ind w:left="0"/>
              <w:rPr>
                <w:rFonts w:ascii="Arial" w:hAnsi="Arial" w:cs="Arial"/>
                <w:sz w:val="24"/>
                <w:szCs w:val="24"/>
              </w:rPr>
            </w:pPr>
            <w:r>
              <w:rPr>
                <w:rFonts w:ascii="Arial" w:hAnsi="Arial" w:cs="Arial"/>
                <w:sz w:val="24"/>
                <w:szCs w:val="24"/>
              </w:rPr>
              <w:t>Three</w:t>
            </w:r>
          </w:p>
        </w:tc>
      </w:tr>
      <w:tr w:rsidR="00DB54A4" w:rsidTr="00DB54A4">
        <w:tc>
          <w:tcPr>
            <w:tcW w:w="3778" w:type="dxa"/>
          </w:tcPr>
          <w:p w:rsidR="00DB54A4" w:rsidRDefault="00DB54A4" w:rsidP="009C1D4F">
            <w:pPr>
              <w:pStyle w:val="ListParagraph"/>
              <w:ind w:left="0"/>
              <w:rPr>
                <w:rFonts w:ascii="Arial" w:hAnsi="Arial" w:cs="Arial"/>
                <w:sz w:val="24"/>
                <w:szCs w:val="24"/>
              </w:rPr>
            </w:pPr>
            <w:r>
              <w:rPr>
                <w:rFonts w:ascii="Arial" w:hAnsi="Arial" w:cs="Arial"/>
                <w:sz w:val="24"/>
                <w:szCs w:val="24"/>
              </w:rPr>
              <w:t>Above Eleven</w:t>
            </w:r>
          </w:p>
        </w:tc>
        <w:tc>
          <w:tcPr>
            <w:tcW w:w="3798" w:type="dxa"/>
          </w:tcPr>
          <w:p w:rsidR="00DB54A4" w:rsidRDefault="00DB54A4" w:rsidP="009C1D4F">
            <w:pPr>
              <w:pStyle w:val="ListParagraph"/>
              <w:ind w:left="0"/>
              <w:rPr>
                <w:rFonts w:ascii="Arial" w:hAnsi="Arial" w:cs="Arial"/>
                <w:sz w:val="24"/>
                <w:szCs w:val="24"/>
              </w:rPr>
            </w:pPr>
            <w:r>
              <w:rPr>
                <w:rFonts w:ascii="Arial" w:hAnsi="Arial" w:cs="Arial"/>
                <w:sz w:val="24"/>
                <w:szCs w:val="24"/>
              </w:rPr>
              <w:t>Four</w:t>
            </w:r>
          </w:p>
        </w:tc>
      </w:tr>
    </w:tbl>
    <w:p w:rsidR="00DB54A4" w:rsidRDefault="00DB54A4" w:rsidP="00DB54A4">
      <w:pPr>
        <w:pStyle w:val="ListParagraph"/>
        <w:ind w:left="1440"/>
        <w:rPr>
          <w:rFonts w:ascii="Arial" w:hAnsi="Arial" w:cs="Arial"/>
          <w:sz w:val="24"/>
          <w:szCs w:val="24"/>
        </w:rPr>
      </w:pPr>
    </w:p>
    <w:p w:rsidR="002C3F1E" w:rsidRDefault="00DB54A4" w:rsidP="00DB54A4">
      <w:pPr>
        <w:pStyle w:val="ListParagraph"/>
        <w:numPr>
          <w:ilvl w:val="0"/>
          <w:numId w:val="2"/>
        </w:numPr>
      </w:pPr>
      <w:r w:rsidRPr="00DB54A4">
        <w:rPr>
          <w:rFonts w:ascii="Arial" w:hAnsi="Arial" w:cs="Arial"/>
          <w:sz w:val="24"/>
          <w:szCs w:val="24"/>
        </w:rPr>
        <w:t>For agencies, two or three properties will be audited and inspected every six months. Self-audit declarations required on other properties not visited within the last five years (council will supply a list of properties requiring self-audit declarations)</w:t>
      </w:r>
    </w:p>
    <w:sectPr w:rsidR="002C3F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4A4" w:rsidRDefault="00DB54A4" w:rsidP="00DB54A4">
      <w:pPr>
        <w:spacing w:after="0" w:line="240" w:lineRule="auto"/>
      </w:pPr>
      <w:r>
        <w:separator/>
      </w:r>
    </w:p>
  </w:endnote>
  <w:endnote w:type="continuationSeparator" w:id="0">
    <w:p w:rsidR="00DB54A4" w:rsidRDefault="00DB54A4" w:rsidP="00DB5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074" w:rsidRDefault="001F70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074" w:rsidRDefault="001F70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074" w:rsidRDefault="001F7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4A4" w:rsidRDefault="00DB54A4" w:rsidP="00DB54A4">
      <w:pPr>
        <w:spacing w:after="0" w:line="240" w:lineRule="auto"/>
      </w:pPr>
      <w:r>
        <w:separator/>
      </w:r>
    </w:p>
  </w:footnote>
  <w:footnote w:type="continuationSeparator" w:id="0">
    <w:p w:rsidR="00DB54A4" w:rsidRDefault="00DB54A4" w:rsidP="00DB54A4">
      <w:pPr>
        <w:spacing w:after="0" w:line="240" w:lineRule="auto"/>
      </w:pPr>
      <w:r>
        <w:continuationSeparator/>
      </w:r>
    </w:p>
  </w:footnote>
  <w:footnote w:id="1">
    <w:p w:rsidR="00DB54A4" w:rsidRDefault="00DB54A4" w:rsidP="00DB54A4">
      <w:pPr>
        <w:pStyle w:val="FootnoteText"/>
      </w:pPr>
      <w:r>
        <w:rPr>
          <w:rStyle w:val="FootnoteReference"/>
        </w:rPr>
        <w:footnoteRef/>
      </w:r>
      <w:r>
        <w:t xml:space="preserve"> Contraventions – this does not mean a conviction. A contravention is where there evidence a law / regulation has been broken – this may not result in a conviction. It may be that an enforcement notice has been served or a caution or fine issued.</w:t>
      </w:r>
    </w:p>
  </w:footnote>
  <w:footnote w:id="2">
    <w:p w:rsidR="00DB54A4" w:rsidRDefault="00DB54A4" w:rsidP="00DB54A4">
      <w:pPr>
        <w:pStyle w:val="FootnoteText"/>
      </w:pPr>
      <w:r>
        <w:rPr>
          <w:rStyle w:val="FootnoteReference"/>
        </w:rPr>
        <w:footnoteRef/>
      </w:r>
      <w:r>
        <w:t xml:space="preserve"> London Borough of Waltham Forest V Khan N</w:t>
      </w:r>
      <w:r w:rsidRPr="00026680">
        <w:t xml:space="preserve">eutral Citation Number: [2017] UKUT 153 (LC) </w:t>
      </w:r>
      <w:hyperlink r:id="rId1" w:history="1">
        <w:r w:rsidRPr="00101F4B">
          <w:rPr>
            <w:rStyle w:val="Hyperlink"/>
          </w:rPr>
          <w:t>http://www.bailii.org/uk/cases/UKUT/LC/2017/153.html</w:t>
        </w:r>
      </w:hyperlink>
    </w:p>
  </w:footnote>
  <w:footnote w:id="3">
    <w:p w:rsidR="00DB54A4" w:rsidRDefault="00DB54A4" w:rsidP="00DB54A4">
      <w:pPr>
        <w:pStyle w:val="FootnoteText"/>
      </w:pPr>
      <w:r>
        <w:rPr>
          <w:rStyle w:val="FootnoteReference"/>
        </w:rPr>
        <w:footnoteRef/>
      </w:r>
      <w:r>
        <w:t xml:space="preserve"> Justified complaint is one where the council have investigated and have evidence that supports the allegation and / or had to take action to resolve the issue.</w:t>
      </w:r>
    </w:p>
  </w:footnote>
  <w:footnote w:id="4">
    <w:p w:rsidR="003D28BB" w:rsidRDefault="003D28BB">
      <w:pPr>
        <w:pStyle w:val="FootnoteText"/>
      </w:pPr>
      <w:r>
        <w:rPr>
          <w:rStyle w:val="FootnoteReference"/>
        </w:rPr>
        <w:footnoteRef/>
      </w:r>
      <w:r>
        <w:t xml:space="preserve"> Acceptable accreditation schemes will be published. Either the licence holder or a managing agent with full management control can be accredited. </w:t>
      </w:r>
    </w:p>
  </w:footnote>
  <w:footnote w:id="5">
    <w:p w:rsidR="00DB54A4" w:rsidRDefault="00DB54A4" w:rsidP="00DB54A4">
      <w:pPr>
        <w:pStyle w:val="FootnoteText"/>
      </w:pPr>
      <w:r>
        <w:rPr>
          <w:rStyle w:val="FootnoteReference"/>
        </w:rPr>
        <w:footnoteRef/>
      </w:r>
      <w:r>
        <w:t xml:space="preserve"> London Borough of Waltham Forest V Khan N</w:t>
      </w:r>
      <w:r w:rsidRPr="00026680">
        <w:t xml:space="preserve">eutral Citation Number: [2017] UKUT 153 (LC) </w:t>
      </w:r>
      <w:hyperlink r:id="rId2" w:history="1">
        <w:r w:rsidRPr="00101F4B">
          <w:rPr>
            <w:rStyle w:val="Hyperlink"/>
          </w:rPr>
          <w:t>http://www.bailii.org/uk/cases/UKUT/LC/2017/153.html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074" w:rsidRDefault="001F70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074" w:rsidRPr="001F7074" w:rsidRDefault="001F7074">
    <w:pPr>
      <w:pStyle w:val="Header"/>
      <w:rPr>
        <w:rFonts w:ascii="Arial" w:hAnsi="Arial" w:cs="Arial"/>
        <w:sz w:val="48"/>
        <w:szCs w:val="48"/>
      </w:rPr>
    </w:pPr>
    <w:r>
      <w:rPr>
        <w:rFonts w:ascii="Arial" w:hAnsi="Arial" w:cs="Arial"/>
        <w:sz w:val="48"/>
        <w:szCs w:val="48"/>
      </w:rPr>
      <w:tab/>
    </w:r>
    <w:r>
      <w:rPr>
        <w:rFonts w:ascii="Arial" w:hAnsi="Arial" w:cs="Arial"/>
        <w:sz w:val="48"/>
        <w:szCs w:val="48"/>
      </w:rPr>
      <w:tab/>
    </w:r>
    <w:bookmarkStart w:id="0" w:name="_GoBack"/>
    <w:bookmarkEnd w:id="0"/>
    <w:r w:rsidRPr="001F7074">
      <w:rPr>
        <w:rFonts w:ascii="Arial" w:hAnsi="Arial" w:cs="Arial"/>
        <w:sz w:val="48"/>
        <w:szCs w:val="48"/>
      </w:rPr>
      <w:t>Appendix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074" w:rsidRDefault="001F70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6151"/>
    <w:multiLevelType w:val="hybridMultilevel"/>
    <w:tmpl w:val="662E5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4178F2"/>
    <w:multiLevelType w:val="hybridMultilevel"/>
    <w:tmpl w:val="9F760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FB4D12"/>
    <w:multiLevelType w:val="hybridMultilevel"/>
    <w:tmpl w:val="E386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25133"/>
    <w:multiLevelType w:val="hybridMultilevel"/>
    <w:tmpl w:val="CAF82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14C89"/>
    <w:multiLevelType w:val="hybridMultilevel"/>
    <w:tmpl w:val="9E20A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DF5E9D"/>
    <w:multiLevelType w:val="hybridMultilevel"/>
    <w:tmpl w:val="44FA8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4A4"/>
    <w:rsid w:val="001F7074"/>
    <w:rsid w:val="002C3F1E"/>
    <w:rsid w:val="003D28BB"/>
    <w:rsid w:val="006120D4"/>
    <w:rsid w:val="006D1E05"/>
    <w:rsid w:val="009A656F"/>
    <w:rsid w:val="00CA13FC"/>
    <w:rsid w:val="00DB54A4"/>
    <w:rsid w:val="00EE7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2C054-2B6C-4909-9928-33E29F23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4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5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54A4"/>
    <w:pPr>
      <w:ind w:left="720"/>
      <w:contextualSpacing/>
    </w:pPr>
  </w:style>
  <w:style w:type="paragraph" w:styleId="FootnoteText">
    <w:name w:val="footnote text"/>
    <w:basedOn w:val="Normal"/>
    <w:link w:val="FootnoteTextChar"/>
    <w:uiPriority w:val="99"/>
    <w:semiHidden/>
    <w:unhideWhenUsed/>
    <w:rsid w:val="00DB54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4A4"/>
    <w:rPr>
      <w:sz w:val="20"/>
      <w:szCs w:val="20"/>
    </w:rPr>
  </w:style>
  <w:style w:type="character" w:styleId="FootnoteReference">
    <w:name w:val="footnote reference"/>
    <w:basedOn w:val="DefaultParagraphFont"/>
    <w:uiPriority w:val="99"/>
    <w:semiHidden/>
    <w:unhideWhenUsed/>
    <w:rsid w:val="00DB54A4"/>
    <w:rPr>
      <w:vertAlign w:val="superscript"/>
    </w:rPr>
  </w:style>
  <w:style w:type="character" w:styleId="Hyperlink">
    <w:name w:val="Hyperlink"/>
    <w:basedOn w:val="DefaultParagraphFont"/>
    <w:uiPriority w:val="99"/>
    <w:unhideWhenUsed/>
    <w:rsid w:val="00DB54A4"/>
    <w:rPr>
      <w:color w:val="0563C1" w:themeColor="hyperlink"/>
      <w:u w:val="single"/>
    </w:rPr>
  </w:style>
  <w:style w:type="paragraph" w:styleId="Header">
    <w:name w:val="header"/>
    <w:basedOn w:val="Normal"/>
    <w:link w:val="HeaderChar"/>
    <w:uiPriority w:val="99"/>
    <w:unhideWhenUsed/>
    <w:rsid w:val="001F70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074"/>
  </w:style>
  <w:style w:type="paragraph" w:styleId="Footer">
    <w:name w:val="footer"/>
    <w:basedOn w:val="Normal"/>
    <w:link w:val="FooterChar"/>
    <w:uiPriority w:val="99"/>
    <w:unhideWhenUsed/>
    <w:rsid w:val="001F70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bailii.org/uk/cases/UKUT/LC/2017/153.html" TargetMode="External"/><Relationship Id="rId1" Type="http://schemas.openxmlformats.org/officeDocument/2006/relationships/hyperlink" Target="http://www.bailii.org/uk/cases/UKUT/LC/2017/15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CF809-6BDE-47A4-8030-C376391F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969A92B5</Template>
  <TotalTime>24</TotalTime>
  <Pages>5</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SIDDALL Gail</dc:creator>
  <cp:keywords/>
  <dc:description/>
  <cp:lastModifiedBy>MITCHELL John</cp:lastModifiedBy>
  <cp:revision>6</cp:revision>
  <dcterms:created xsi:type="dcterms:W3CDTF">2021-02-01T11:20:00Z</dcterms:created>
  <dcterms:modified xsi:type="dcterms:W3CDTF">2021-02-12T15:49:00Z</dcterms:modified>
</cp:coreProperties>
</file>